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66214DB">
      <w:pPr>
        <w:tabs>
          <w:tab w:val="left" w:pos="851"/>
          <w:tab w:val="left" w:pos="1620"/>
          <w:tab w:val="left" w:pos="1800"/>
        </w:tabs>
        <w:jc w:val="center"/>
        <w:rPr>
          <w:rFonts w:hint="default" w:ascii="Times New Roman" w:hAnsi="Times New Roman" w:eastAsia="宋体" w:cs="Times New Roman"/>
          <w:color w:val="auto"/>
          <w:sz w:val="52"/>
          <w:szCs w:val="52"/>
          <w:highlight w:val="none"/>
        </w:rPr>
      </w:pPr>
      <w:bookmarkStart w:id="0" w:name="_Hlk145584886"/>
      <w:bookmarkStart w:id="1" w:name="_Hlk139286149"/>
    </w:p>
    <w:p w14:paraId="6314ECE4">
      <w:pPr>
        <w:tabs>
          <w:tab w:val="left" w:pos="851"/>
          <w:tab w:val="left" w:pos="1620"/>
          <w:tab w:val="left" w:pos="1800"/>
        </w:tabs>
        <w:jc w:val="center"/>
        <w:rPr>
          <w:rFonts w:hint="default" w:ascii="Times New Roman" w:hAnsi="Times New Roman" w:eastAsia="宋体" w:cs="Times New Roman"/>
          <w:color w:val="auto"/>
          <w:sz w:val="52"/>
          <w:szCs w:val="52"/>
          <w:highlight w:val="none"/>
        </w:rPr>
      </w:pPr>
    </w:p>
    <w:p w14:paraId="424BF701">
      <w:pPr>
        <w:tabs>
          <w:tab w:val="left" w:pos="851"/>
          <w:tab w:val="left" w:pos="1620"/>
          <w:tab w:val="left" w:pos="1800"/>
        </w:tabs>
        <w:jc w:val="center"/>
        <w:rPr>
          <w:rFonts w:hint="default" w:ascii="Times New Roman" w:hAnsi="Times New Roman" w:eastAsia="宋体" w:cs="Times New Roman"/>
          <w:color w:val="auto"/>
          <w:sz w:val="52"/>
          <w:szCs w:val="52"/>
          <w:highlight w:val="none"/>
        </w:rPr>
      </w:pPr>
    </w:p>
    <w:bookmarkEnd w:id="0"/>
    <w:p w14:paraId="0F586AD6">
      <w:pPr>
        <w:tabs>
          <w:tab w:val="left" w:pos="851"/>
          <w:tab w:val="left" w:pos="1620"/>
          <w:tab w:val="left" w:pos="1800"/>
        </w:tabs>
        <w:jc w:val="center"/>
        <w:rPr>
          <w:rFonts w:hint="default" w:ascii="Times New Roman" w:hAnsi="Times New Roman" w:eastAsia="方正公文小标宋" w:cs="Times New Roman"/>
          <w:color w:val="auto"/>
          <w:sz w:val="48"/>
          <w:szCs w:val="48"/>
          <w:highlight w:val="none"/>
          <w:lang w:val="en-US" w:eastAsia="zh-CN"/>
        </w:rPr>
      </w:pPr>
      <w:r>
        <w:rPr>
          <w:rFonts w:hint="default" w:ascii="Times New Roman" w:hAnsi="Times New Roman" w:eastAsia="方正公文小标宋" w:cs="Times New Roman"/>
          <w:color w:val="auto"/>
          <w:sz w:val="48"/>
          <w:szCs w:val="48"/>
          <w:highlight w:val="none"/>
          <w:lang w:eastAsia="zh-CN"/>
        </w:rPr>
        <w:t>《</w:t>
      </w:r>
      <w:r>
        <w:rPr>
          <w:rFonts w:hint="default" w:ascii="Times New Roman" w:hAnsi="Times New Roman" w:eastAsia="方正公文小标宋" w:cs="Times New Roman"/>
          <w:color w:val="auto"/>
          <w:sz w:val="48"/>
          <w:szCs w:val="48"/>
          <w:highlight w:val="none"/>
        </w:rPr>
        <w:t>建筑碳排放计量器具的配备与管理</w:t>
      </w:r>
      <w:r>
        <w:rPr>
          <w:rFonts w:hint="default" w:ascii="Times New Roman" w:hAnsi="Times New Roman" w:eastAsia="方正公文小标宋" w:cs="Times New Roman"/>
          <w:color w:val="auto"/>
          <w:sz w:val="48"/>
          <w:szCs w:val="48"/>
          <w:highlight w:val="none"/>
          <w:lang w:val="en-US" w:eastAsia="zh-CN"/>
        </w:rPr>
        <w:t xml:space="preserve"> </w:t>
      </w:r>
      <w:r>
        <w:rPr>
          <w:rFonts w:hint="default" w:ascii="Times New Roman" w:hAnsi="Times New Roman" w:eastAsia="方正公文小标宋" w:cs="Times New Roman"/>
          <w:color w:val="auto"/>
          <w:sz w:val="48"/>
          <w:szCs w:val="48"/>
          <w:highlight w:val="none"/>
        </w:rPr>
        <w:t>施工阶段</w:t>
      </w:r>
      <w:r>
        <w:rPr>
          <w:rFonts w:hint="default" w:ascii="Times New Roman" w:hAnsi="Times New Roman" w:eastAsia="方正公文小标宋" w:cs="Times New Roman"/>
          <w:color w:val="auto"/>
          <w:sz w:val="48"/>
          <w:szCs w:val="48"/>
          <w:highlight w:val="none"/>
          <w:lang w:eastAsia="zh-CN"/>
        </w:rPr>
        <w:t>》</w:t>
      </w:r>
    </w:p>
    <w:p w14:paraId="4B4FC2C4">
      <w:pPr>
        <w:autoSpaceDE w:val="0"/>
        <w:autoSpaceDN w:val="0"/>
        <w:adjustRightInd w:val="0"/>
        <w:snapToGrid w:val="0"/>
        <w:spacing w:before="156" w:beforeLines="50"/>
        <w:jc w:val="center"/>
        <w:rPr>
          <w:rFonts w:hint="default" w:ascii="Times New Roman" w:hAnsi="Times New Roman" w:eastAsia="方正公文小标宋" w:cs="Times New Roman"/>
          <w:color w:val="auto"/>
          <w:sz w:val="48"/>
          <w:szCs w:val="48"/>
          <w:highlight w:val="none"/>
          <w:lang w:val="en-US" w:eastAsia="zh-CN"/>
        </w:rPr>
      </w:pPr>
      <w:r>
        <w:rPr>
          <w:rFonts w:hint="eastAsia" w:ascii="Times New Roman" w:hAnsi="Times New Roman" w:eastAsia="方正公文小标宋" w:cs="Times New Roman"/>
          <w:color w:val="auto"/>
          <w:sz w:val="48"/>
          <w:szCs w:val="48"/>
          <w:highlight w:val="none"/>
          <w:lang w:val="en-US" w:eastAsia="zh-CN"/>
        </w:rPr>
        <w:t>实验</w:t>
      </w:r>
      <w:r>
        <w:rPr>
          <w:rFonts w:hint="default" w:ascii="Times New Roman" w:hAnsi="Times New Roman" w:eastAsia="方正公文小标宋" w:cs="Times New Roman"/>
          <w:color w:val="auto"/>
          <w:sz w:val="48"/>
          <w:szCs w:val="48"/>
          <w:highlight w:val="none"/>
          <w:lang w:val="en-US" w:eastAsia="zh-CN"/>
        </w:rPr>
        <w:t>报告</w:t>
      </w:r>
    </w:p>
    <w:bookmarkEnd w:id="1"/>
    <w:p w14:paraId="6FB8C622">
      <w:pPr>
        <w:rPr>
          <w:rFonts w:hint="default" w:ascii="Times New Roman" w:hAnsi="Times New Roman" w:eastAsia="宋体" w:cs="Times New Roman"/>
          <w:color w:val="auto"/>
          <w:highlight w:val="none"/>
        </w:rPr>
      </w:pPr>
    </w:p>
    <w:p w14:paraId="54101CFE">
      <w:pPr>
        <w:rPr>
          <w:rFonts w:hint="default" w:ascii="Times New Roman" w:hAnsi="Times New Roman" w:eastAsia="宋体" w:cs="Times New Roman"/>
          <w:color w:val="auto"/>
          <w:highlight w:val="none"/>
        </w:rPr>
      </w:pPr>
    </w:p>
    <w:p w14:paraId="7604A6BA">
      <w:pPr>
        <w:rPr>
          <w:rFonts w:hint="default" w:ascii="Times New Roman" w:hAnsi="Times New Roman" w:eastAsia="宋体" w:cs="Times New Roman"/>
          <w:color w:val="auto"/>
          <w:highlight w:val="none"/>
        </w:rPr>
      </w:pPr>
    </w:p>
    <w:p w14:paraId="72ADF0A5">
      <w:pPr>
        <w:rPr>
          <w:rFonts w:hint="default" w:ascii="Times New Roman" w:hAnsi="Times New Roman" w:eastAsia="宋体" w:cs="Times New Roman"/>
          <w:color w:val="auto"/>
          <w:highlight w:val="none"/>
        </w:rPr>
      </w:pPr>
    </w:p>
    <w:p w14:paraId="16AAB1C1">
      <w:pPr>
        <w:rPr>
          <w:rFonts w:hint="default" w:ascii="Times New Roman" w:hAnsi="Times New Roman" w:eastAsia="宋体" w:cs="Times New Roman"/>
          <w:color w:val="auto"/>
          <w:highlight w:val="none"/>
        </w:rPr>
      </w:pPr>
    </w:p>
    <w:p w14:paraId="0CE05889">
      <w:pPr>
        <w:rPr>
          <w:rFonts w:hint="default" w:ascii="Times New Roman" w:hAnsi="Times New Roman" w:eastAsia="宋体" w:cs="Times New Roman"/>
          <w:color w:val="auto"/>
          <w:highlight w:val="none"/>
        </w:rPr>
      </w:pPr>
    </w:p>
    <w:p w14:paraId="4110109A">
      <w:pPr>
        <w:rPr>
          <w:rFonts w:hint="default" w:ascii="Times New Roman" w:hAnsi="Times New Roman" w:eastAsia="宋体" w:cs="Times New Roman"/>
          <w:color w:val="auto"/>
          <w:highlight w:val="none"/>
        </w:rPr>
      </w:pPr>
    </w:p>
    <w:p w14:paraId="1BF0F526">
      <w:pPr>
        <w:rPr>
          <w:rFonts w:hint="default" w:ascii="Times New Roman" w:hAnsi="Times New Roman" w:eastAsia="宋体" w:cs="Times New Roman"/>
          <w:color w:val="auto"/>
          <w:highlight w:val="none"/>
        </w:rPr>
      </w:pPr>
    </w:p>
    <w:p w14:paraId="59C2106E">
      <w:pPr>
        <w:rPr>
          <w:rFonts w:hint="default" w:ascii="Times New Roman" w:hAnsi="Times New Roman" w:eastAsia="宋体" w:cs="Times New Roman"/>
          <w:color w:val="auto"/>
          <w:highlight w:val="none"/>
        </w:rPr>
      </w:pPr>
    </w:p>
    <w:p w14:paraId="5F083F7F">
      <w:pPr>
        <w:rPr>
          <w:rFonts w:hint="default" w:ascii="Times New Roman" w:hAnsi="Times New Roman" w:eastAsia="宋体" w:cs="Times New Roman"/>
          <w:color w:val="auto"/>
          <w:highlight w:val="none"/>
        </w:rPr>
      </w:pPr>
    </w:p>
    <w:p w14:paraId="7828E9C8">
      <w:pPr>
        <w:rPr>
          <w:rFonts w:hint="default" w:ascii="Times New Roman" w:hAnsi="Times New Roman" w:eastAsia="宋体" w:cs="Times New Roman"/>
          <w:color w:val="auto"/>
          <w:highlight w:val="none"/>
        </w:rPr>
      </w:pPr>
    </w:p>
    <w:p w14:paraId="0EAF2479">
      <w:pPr>
        <w:rPr>
          <w:rFonts w:hint="default" w:ascii="Times New Roman" w:hAnsi="Times New Roman" w:eastAsia="宋体" w:cs="Times New Roman"/>
          <w:color w:val="auto"/>
          <w:highlight w:val="none"/>
        </w:rPr>
      </w:pPr>
    </w:p>
    <w:p w14:paraId="1446C9B3">
      <w:pPr>
        <w:rPr>
          <w:rFonts w:hint="default" w:ascii="Times New Roman" w:hAnsi="Times New Roman" w:eastAsia="宋体" w:cs="Times New Roman"/>
          <w:color w:val="auto"/>
          <w:highlight w:val="none"/>
        </w:rPr>
      </w:pPr>
    </w:p>
    <w:p w14:paraId="6BC8BD6A">
      <w:pPr>
        <w:rPr>
          <w:rFonts w:hint="default" w:ascii="Times New Roman" w:hAnsi="Times New Roman" w:eastAsia="宋体" w:cs="Times New Roman"/>
          <w:color w:val="auto"/>
          <w:highlight w:val="none"/>
        </w:rPr>
      </w:pPr>
    </w:p>
    <w:p w14:paraId="78D52259">
      <w:pPr>
        <w:widowControl w:val="0"/>
        <w:spacing w:before="120"/>
        <w:ind w:firstLine="262" w:firstLineChars="100"/>
        <w:jc w:val="both"/>
        <w:rPr>
          <w:rFonts w:hint="default" w:ascii="Times New Roman" w:hAnsi="Times New Roman" w:eastAsia="宋体" w:cs="Times New Roman"/>
          <w:color w:val="auto"/>
          <w:sz w:val="28"/>
          <w:szCs w:val="28"/>
          <w:highlight w:val="none"/>
          <w:lang w:val="en-US" w:eastAsia="zh-CN"/>
        </w:rPr>
      </w:pPr>
      <w:r>
        <w:rPr>
          <w:rFonts w:hint="default" w:ascii="Times New Roman" w:hAnsi="Times New Roman" w:eastAsia="宋体" w:cs="Times New Roman"/>
          <w:color w:val="auto"/>
          <w:sz w:val="28"/>
          <w:szCs w:val="28"/>
          <w:highlight w:val="none"/>
          <w:lang w:val="en-US" w:eastAsia="zh-CN"/>
        </w:rPr>
        <w:t>自评</w:t>
      </w:r>
      <w:r>
        <w:rPr>
          <w:rFonts w:hint="default" w:ascii="Times New Roman" w:hAnsi="Times New Roman" w:eastAsia="宋体" w:cs="Times New Roman"/>
          <w:color w:val="auto"/>
          <w:sz w:val="28"/>
          <w:szCs w:val="28"/>
          <w:highlight w:val="none"/>
        </w:rPr>
        <w:t>方：</w:t>
      </w:r>
      <w:r>
        <w:rPr>
          <w:rFonts w:hint="default" w:ascii="Times New Roman" w:hAnsi="Times New Roman" w:eastAsia="宋体" w:cs="Times New Roman"/>
          <w:bCs/>
          <w:color w:val="auto"/>
          <w:sz w:val="28"/>
          <w:szCs w:val="28"/>
          <w:highlight w:val="none"/>
          <w:u w:val="single"/>
        </w:rPr>
        <w:t xml:space="preserve"> </w:t>
      </w:r>
      <w:r>
        <w:rPr>
          <w:rFonts w:hint="default" w:ascii="Times New Roman" w:hAnsi="Times New Roman" w:eastAsia="宋体" w:cs="Times New Roman"/>
          <w:bCs/>
          <w:color w:val="auto"/>
          <w:sz w:val="28"/>
          <w:szCs w:val="28"/>
          <w:highlight w:val="none"/>
          <w:u w:val="single"/>
          <w:lang w:val="en-US" w:eastAsia="zh-CN"/>
        </w:rPr>
        <w:t xml:space="preserve">           联检（江苏）科技股份有限公司              </w:t>
      </w:r>
    </w:p>
    <w:p w14:paraId="7C4F37C8">
      <w:pPr>
        <w:widowControl w:val="0"/>
        <w:spacing w:before="120"/>
        <w:ind w:firstLine="262" w:firstLineChars="100"/>
        <w:jc w:val="both"/>
        <w:rPr>
          <w:rFonts w:hint="default" w:ascii="Times New Roman" w:hAnsi="Times New Roman" w:eastAsia="宋体" w:cs="Times New Roman"/>
          <w:color w:val="auto"/>
          <w:sz w:val="28"/>
          <w:szCs w:val="28"/>
          <w:highlight w:val="none"/>
          <w:lang w:val="en-US" w:eastAsia="zh-CN"/>
        </w:rPr>
      </w:pPr>
      <w:r>
        <w:rPr>
          <w:rFonts w:hint="default" w:ascii="Times New Roman" w:hAnsi="Times New Roman" w:eastAsia="宋体" w:cs="Times New Roman"/>
          <w:color w:val="auto"/>
          <w:sz w:val="28"/>
          <w:szCs w:val="28"/>
          <w:highlight w:val="none"/>
        </w:rPr>
        <w:t>自评日期：</w:t>
      </w:r>
      <w:r>
        <w:rPr>
          <w:rFonts w:hint="default" w:ascii="Times New Roman" w:hAnsi="Times New Roman" w:eastAsia="宋体" w:cs="Times New Roman"/>
          <w:bCs/>
          <w:color w:val="auto"/>
          <w:sz w:val="28"/>
          <w:szCs w:val="28"/>
          <w:highlight w:val="none"/>
          <w:u w:val="single"/>
        </w:rPr>
        <w:t xml:space="preserve">           </w:t>
      </w:r>
      <w:r>
        <w:rPr>
          <w:rFonts w:hint="default" w:ascii="Times New Roman" w:hAnsi="Times New Roman" w:eastAsia="宋体" w:cs="Times New Roman"/>
          <w:bCs/>
          <w:color w:val="auto"/>
          <w:sz w:val="28"/>
          <w:szCs w:val="28"/>
          <w:highlight w:val="none"/>
          <w:u w:val="single"/>
          <w:lang w:val="en-US" w:eastAsia="zh-CN"/>
        </w:rPr>
        <w:t xml:space="preserve">   2025年10月22日</w:t>
      </w:r>
      <w:r>
        <w:rPr>
          <w:rFonts w:hint="default" w:ascii="Times New Roman" w:hAnsi="Times New Roman" w:eastAsia="宋体" w:cs="Times New Roman"/>
          <w:bCs/>
          <w:color w:val="auto"/>
          <w:sz w:val="28"/>
          <w:szCs w:val="28"/>
          <w:highlight w:val="none"/>
          <w:u w:val="single"/>
        </w:rPr>
        <w:t xml:space="preserve">  </w:t>
      </w:r>
      <w:r>
        <w:rPr>
          <w:rFonts w:hint="default" w:ascii="Times New Roman" w:hAnsi="Times New Roman" w:eastAsia="宋体" w:cs="Times New Roman"/>
          <w:bCs/>
          <w:color w:val="auto"/>
          <w:sz w:val="28"/>
          <w:szCs w:val="28"/>
          <w:highlight w:val="none"/>
          <w:u w:val="single"/>
          <w:lang w:val="en-US" w:eastAsia="zh-CN"/>
        </w:rPr>
        <w:t xml:space="preserve">                </w:t>
      </w:r>
      <w:r>
        <w:rPr>
          <w:rFonts w:hint="default" w:ascii="Times New Roman" w:hAnsi="Times New Roman" w:eastAsia="宋体" w:cs="Times New Roman"/>
          <w:bCs/>
          <w:color w:val="auto"/>
          <w:sz w:val="28"/>
          <w:szCs w:val="28"/>
          <w:highlight w:val="none"/>
          <w:u w:val="single"/>
        </w:rPr>
        <w:t xml:space="preserve">    </w:t>
      </w:r>
    </w:p>
    <w:p w14:paraId="5F0B4DE1">
      <w:pPr>
        <w:pBdr>
          <w:bottom w:val="thickThinSmallGap" w:color="BFBFBF" w:sz="24" w:space="1"/>
        </w:pBdr>
        <w:spacing w:before="120"/>
        <w:jc w:val="both"/>
        <w:rPr>
          <w:rFonts w:hint="default" w:ascii="Times New Roman" w:hAnsi="Times New Roman" w:eastAsia="宋体" w:cs="Times New Roman"/>
          <w:b/>
          <w:bCs/>
          <w:color w:val="auto"/>
          <w:kern w:val="13"/>
          <w:sz w:val="28"/>
          <w:szCs w:val="28"/>
          <w:highlight w:val="none"/>
        </w:rPr>
      </w:pPr>
    </w:p>
    <w:p w14:paraId="2D108D11">
      <w:pPr>
        <w:pBdr>
          <w:bottom w:val="thickThinSmallGap" w:color="BFBFBF" w:sz="24" w:space="1"/>
        </w:pBdr>
        <w:spacing w:before="120"/>
        <w:jc w:val="center"/>
        <w:rPr>
          <w:rFonts w:hint="default" w:ascii="Times New Roman" w:hAnsi="Times New Roman" w:eastAsia="宋体" w:cs="Times New Roman"/>
          <w:b/>
          <w:bCs/>
          <w:color w:val="auto"/>
          <w:kern w:val="13"/>
          <w:sz w:val="28"/>
          <w:szCs w:val="28"/>
          <w:highlight w:val="none"/>
        </w:rPr>
      </w:pPr>
    </w:p>
    <w:p w14:paraId="63FB8EF4">
      <w:pPr>
        <w:pBdr>
          <w:bottom w:val="thickThinSmallGap" w:color="BFBFBF" w:sz="24" w:space="1"/>
        </w:pBdr>
        <w:spacing w:before="120"/>
        <w:jc w:val="center"/>
        <w:rPr>
          <w:rFonts w:hint="default" w:ascii="Times New Roman" w:hAnsi="Times New Roman" w:eastAsia="宋体" w:cs="Times New Roman"/>
          <w:color w:val="auto"/>
          <w:spacing w:val="48"/>
          <w:sz w:val="28"/>
          <w:szCs w:val="28"/>
          <w:highlight w:val="none"/>
        </w:rPr>
      </w:pPr>
    </w:p>
    <w:p w14:paraId="518F4611">
      <w:pPr>
        <w:pBdr>
          <w:bottom w:val="thickThinSmallGap" w:color="BFBFBF" w:sz="24" w:space="1"/>
        </w:pBdr>
        <w:spacing w:before="120"/>
        <w:jc w:val="both"/>
        <w:rPr>
          <w:rFonts w:hint="default" w:ascii="Times New Roman" w:hAnsi="Times New Roman" w:eastAsia="宋体" w:cs="Times New Roman"/>
          <w:color w:val="auto"/>
          <w:spacing w:val="48"/>
          <w:sz w:val="28"/>
          <w:szCs w:val="28"/>
          <w:highlight w:val="none"/>
        </w:rPr>
      </w:pPr>
    </w:p>
    <w:p w14:paraId="35F9CCBF">
      <w:pPr>
        <w:spacing w:line="360" w:lineRule="auto"/>
        <w:rPr>
          <w:rFonts w:hint="default" w:ascii="Times New Roman" w:hAnsi="Times New Roman" w:eastAsia="宋体" w:cs="Times New Roman"/>
          <w:color w:val="auto"/>
          <w:sz w:val="24"/>
          <w:highlight w:val="none"/>
        </w:rPr>
      </w:pPr>
      <w:bookmarkStart w:id="7" w:name="_GoBack"/>
      <w:bookmarkEnd w:id="7"/>
    </w:p>
    <w:p w14:paraId="7F344789">
      <w:pPr>
        <w:keepNext w:val="0"/>
        <w:keepLines w:val="0"/>
        <w:pageBreakBefore w:val="0"/>
        <w:widowControl w:val="0"/>
        <w:tabs>
          <w:tab w:val="left" w:pos="3943"/>
        </w:tabs>
        <w:kinsoku/>
        <w:wordWrap/>
        <w:overflowPunct/>
        <w:topLinePunct w:val="0"/>
        <w:autoSpaceDE/>
        <w:autoSpaceDN/>
        <w:bidi w:val="0"/>
        <w:adjustRightInd/>
        <w:snapToGrid/>
        <w:spacing w:line="360" w:lineRule="auto"/>
        <w:jc w:val="left"/>
        <w:textAlignment w:val="auto"/>
        <w:rPr>
          <w:rFonts w:hint="default" w:ascii="Times New Roman" w:hAnsi="Times New Roman" w:eastAsia="黑体" w:cs="Times New Roman"/>
          <w:b w:val="0"/>
          <w:bCs w:val="0"/>
          <w:kern w:val="2"/>
          <w:sz w:val="28"/>
          <w:szCs w:val="32"/>
          <w:highlight w:val="none"/>
          <w:lang w:val="en-US" w:eastAsia="zh-CN" w:bidi="ar-SA"/>
        </w:rPr>
        <w:sectPr>
          <w:headerReference r:id="rId4" w:type="first"/>
          <w:headerReference r:id="rId3" w:type="default"/>
          <w:pgSz w:w="11906" w:h="16838"/>
          <w:pgMar w:top="1134" w:right="1134" w:bottom="1440" w:left="1134" w:header="851" w:footer="567" w:gutter="0"/>
          <w:pgNumType w:start="1"/>
          <w:cols w:space="720" w:num="1"/>
          <w:titlePg/>
          <w:docGrid w:type="linesAndChars" w:linePitch="291" w:charSpace="-3787"/>
        </w:sectPr>
      </w:pPr>
    </w:p>
    <w:p w14:paraId="2FA5EED6">
      <w:pPr>
        <w:keepNext w:val="0"/>
        <w:keepLines w:val="0"/>
        <w:pageBreakBefore w:val="0"/>
        <w:widowControl w:val="0"/>
        <w:tabs>
          <w:tab w:val="left" w:pos="3943"/>
        </w:tabs>
        <w:kinsoku/>
        <w:wordWrap/>
        <w:overflowPunct/>
        <w:topLinePunct w:val="0"/>
        <w:autoSpaceDE/>
        <w:autoSpaceDN/>
        <w:bidi w:val="0"/>
        <w:adjustRightInd/>
        <w:snapToGrid/>
        <w:spacing w:before="146" w:beforeLines="50" w:after="146" w:afterLines="50" w:line="360" w:lineRule="auto"/>
        <w:jc w:val="left"/>
        <w:textAlignment w:val="auto"/>
        <w:rPr>
          <w:rFonts w:hint="default" w:ascii="Times New Roman" w:hAnsi="Times New Roman" w:eastAsia="黑体" w:cs="Times New Roman"/>
          <w:b w:val="0"/>
          <w:bCs w:val="0"/>
          <w:kern w:val="2"/>
          <w:sz w:val="28"/>
          <w:szCs w:val="32"/>
          <w:highlight w:val="none"/>
          <w:lang w:val="en-US" w:eastAsia="zh-CN" w:bidi="ar-SA"/>
        </w:rPr>
      </w:pPr>
      <w:r>
        <w:rPr>
          <w:rFonts w:hint="default" w:ascii="Times New Roman" w:hAnsi="Times New Roman" w:eastAsia="黑体" w:cs="Times New Roman"/>
          <w:b w:val="0"/>
          <w:bCs w:val="0"/>
          <w:kern w:val="2"/>
          <w:sz w:val="28"/>
          <w:szCs w:val="32"/>
          <w:highlight w:val="none"/>
          <w:lang w:val="en-US" w:eastAsia="zh-CN" w:bidi="ar-SA"/>
        </w:rPr>
        <w:t>一、背景</w:t>
      </w:r>
    </w:p>
    <w:p w14:paraId="30B054FA">
      <w:pPr>
        <w:keepNext w:val="0"/>
        <w:keepLines w:val="0"/>
        <w:pageBreakBefore w:val="0"/>
        <w:widowControl w:val="0"/>
        <w:tabs>
          <w:tab w:val="left" w:pos="3943"/>
        </w:tabs>
        <w:kinsoku/>
        <w:wordWrap/>
        <w:overflowPunct/>
        <w:topLinePunct w:val="0"/>
        <w:autoSpaceDE/>
        <w:autoSpaceDN/>
        <w:bidi w:val="0"/>
        <w:adjustRightInd/>
        <w:snapToGrid/>
        <w:spacing w:line="360" w:lineRule="auto"/>
        <w:ind w:firstLine="444" w:firstLineChars="200"/>
        <w:jc w:val="left"/>
        <w:textAlignment w:val="auto"/>
        <w:rPr>
          <w:rFonts w:hint="default" w:ascii="Times New Roman" w:hAnsi="Times New Roman" w:eastAsia="宋体" w:cs="Times New Roman"/>
          <w:kern w:val="2"/>
          <w:sz w:val="24"/>
          <w:szCs w:val="28"/>
          <w:highlight w:val="none"/>
          <w:lang w:val="en-US" w:eastAsia="zh-CN" w:bidi="ar-SA"/>
        </w:rPr>
      </w:pPr>
      <w:r>
        <w:rPr>
          <w:rFonts w:hint="default" w:ascii="Times New Roman" w:hAnsi="Times New Roman" w:eastAsia="宋体" w:cs="Times New Roman"/>
          <w:kern w:val="2"/>
          <w:sz w:val="24"/>
          <w:szCs w:val="28"/>
          <w:highlight w:val="none"/>
          <w:lang w:val="en-US" w:eastAsia="zh-CN" w:bidi="ar-SA"/>
        </w:rPr>
        <w:t>在“碳达峰、碳中和”战略背景下，建筑施工阶段作为建筑全生命周期碳排放的关键环节，其碳排放计量数据的准确性直接影响行业碳核算体系的科学性。我单位编制的《建筑碳排放计量器具的配备与管理 施工阶段》，首次系统明确了施工阶段碳计量器具的配备原则、管理流程及数据要求。为验证该规范条款的落地可行性，本报告以常州市建筑科学研究院检验检测总部建设项目为实践案例，结合规范核心条款开展可操作性评估。</w:t>
      </w:r>
    </w:p>
    <w:p w14:paraId="46F53025">
      <w:pPr>
        <w:keepNext w:val="0"/>
        <w:keepLines w:val="0"/>
        <w:pageBreakBefore w:val="0"/>
        <w:widowControl w:val="0"/>
        <w:tabs>
          <w:tab w:val="left" w:pos="3943"/>
        </w:tabs>
        <w:kinsoku/>
        <w:wordWrap/>
        <w:overflowPunct/>
        <w:topLinePunct w:val="0"/>
        <w:autoSpaceDE/>
        <w:autoSpaceDN/>
        <w:bidi w:val="0"/>
        <w:adjustRightInd/>
        <w:snapToGrid/>
        <w:spacing w:before="146" w:beforeLines="50" w:after="146" w:afterLines="50" w:line="360" w:lineRule="auto"/>
        <w:jc w:val="left"/>
        <w:textAlignment w:val="auto"/>
        <w:rPr>
          <w:rFonts w:hint="default" w:ascii="Times New Roman" w:hAnsi="Times New Roman" w:eastAsia="黑体" w:cs="Times New Roman"/>
          <w:b w:val="0"/>
          <w:bCs w:val="0"/>
          <w:kern w:val="2"/>
          <w:sz w:val="28"/>
          <w:szCs w:val="32"/>
          <w:highlight w:val="none"/>
          <w:lang w:val="en-US" w:eastAsia="zh-CN" w:bidi="ar-SA"/>
        </w:rPr>
      </w:pPr>
      <w:r>
        <w:rPr>
          <w:rFonts w:hint="default" w:ascii="Times New Roman" w:hAnsi="Times New Roman" w:eastAsia="黑体" w:cs="Times New Roman"/>
          <w:b w:val="0"/>
          <w:bCs w:val="0"/>
          <w:kern w:val="2"/>
          <w:sz w:val="28"/>
          <w:szCs w:val="32"/>
          <w:highlight w:val="none"/>
          <w:lang w:val="en-US" w:eastAsia="zh-CN" w:bidi="ar-SA"/>
        </w:rPr>
        <w:t>二、目的</w:t>
      </w:r>
    </w:p>
    <w:p w14:paraId="4CA8062F">
      <w:pPr>
        <w:keepNext w:val="0"/>
        <w:keepLines w:val="0"/>
        <w:pageBreakBefore w:val="0"/>
        <w:widowControl w:val="0"/>
        <w:tabs>
          <w:tab w:val="left" w:pos="3943"/>
        </w:tabs>
        <w:kinsoku/>
        <w:wordWrap/>
        <w:overflowPunct/>
        <w:topLinePunct w:val="0"/>
        <w:autoSpaceDE/>
        <w:autoSpaceDN/>
        <w:bidi w:val="0"/>
        <w:adjustRightInd/>
        <w:snapToGrid/>
        <w:spacing w:line="360" w:lineRule="auto"/>
        <w:ind w:firstLine="444" w:firstLineChars="200"/>
        <w:jc w:val="left"/>
        <w:textAlignment w:val="auto"/>
        <w:rPr>
          <w:rFonts w:hint="default" w:ascii="Times New Roman" w:hAnsi="Times New Roman" w:eastAsia="宋体" w:cs="Times New Roman"/>
          <w:kern w:val="2"/>
          <w:sz w:val="24"/>
          <w:szCs w:val="28"/>
          <w:highlight w:val="none"/>
          <w:lang w:val="en-US" w:eastAsia="zh-CN" w:bidi="ar-SA"/>
        </w:rPr>
      </w:pPr>
      <w:r>
        <w:rPr>
          <w:rFonts w:hint="default" w:ascii="Times New Roman" w:hAnsi="Times New Roman" w:eastAsia="宋体" w:cs="Times New Roman"/>
          <w:kern w:val="2"/>
          <w:sz w:val="24"/>
          <w:szCs w:val="28"/>
          <w:highlight w:val="none"/>
          <w:lang w:val="en-US" w:eastAsia="zh-CN" w:bidi="ar-SA"/>
        </w:rPr>
        <w:t>以常州市建筑科学研究院检验检测总部建设项目为实例，验证施工规范中“计量器具配备”“计量管理”“数据管理”等核心条款的技术可行性与流程适配性；</w:t>
      </w:r>
    </w:p>
    <w:p w14:paraId="010BA834">
      <w:pPr>
        <w:keepNext w:val="0"/>
        <w:keepLines w:val="0"/>
        <w:pageBreakBefore w:val="0"/>
        <w:widowControl w:val="0"/>
        <w:tabs>
          <w:tab w:val="left" w:pos="3943"/>
        </w:tabs>
        <w:kinsoku/>
        <w:wordWrap/>
        <w:overflowPunct/>
        <w:topLinePunct w:val="0"/>
        <w:autoSpaceDE/>
        <w:autoSpaceDN/>
        <w:bidi w:val="0"/>
        <w:adjustRightInd/>
        <w:snapToGrid/>
        <w:spacing w:line="360" w:lineRule="auto"/>
        <w:ind w:firstLine="444" w:firstLineChars="200"/>
        <w:jc w:val="left"/>
        <w:textAlignment w:val="auto"/>
        <w:rPr>
          <w:rFonts w:hint="default" w:ascii="Times New Roman" w:hAnsi="Times New Roman" w:eastAsia="宋体" w:cs="Times New Roman"/>
          <w:kern w:val="2"/>
          <w:sz w:val="24"/>
          <w:szCs w:val="28"/>
          <w:highlight w:val="none"/>
          <w:lang w:val="en-US" w:eastAsia="zh-CN" w:bidi="ar-SA"/>
        </w:rPr>
      </w:pPr>
      <w:r>
        <w:rPr>
          <w:rFonts w:hint="default" w:ascii="Times New Roman" w:hAnsi="Times New Roman" w:eastAsia="宋体" w:cs="Times New Roman"/>
          <w:kern w:val="2"/>
          <w:sz w:val="24"/>
          <w:szCs w:val="28"/>
          <w:highlight w:val="none"/>
          <w:lang w:val="en-US" w:eastAsia="zh-CN" w:bidi="ar-SA"/>
        </w:rPr>
        <w:t>识别规范条款与施工实际场景的适配差异，提出可落地的优化建议；</w:t>
      </w:r>
    </w:p>
    <w:p w14:paraId="2413993C">
      <w:pPr>
        <w:keepNext w:val="0"/>
        <w:keepLines w:val="0"/>
        <w:pageBreakBefore w:val="0"/>
        <w:widowControl w:val="0"/>
        <w:tabs>
          <w:tab w:val="left" w:pos="3943"/>
        </w:tabs>
        <w:kinsoku/>
        <w:wordWrap/>
        <w:overflowPunct/>
        <w:topLinePunct w:val="0"/>
        <w:autoSpaceDE/>
        <w:autoSpaceDN/>
        <w:bidi w:val="0"/>
        <w:adjustRightInd/>
        <w:snapToGrid/>
        <w:spacing w:line="360" w:lineRule="auto"/>
        <w:ind w:firstLine="444" w:firstLineChars="200"/>
        <w:jc w:val="left"/>
        <w:textAlignment w:val="auto"/>
        <w:rPr>
          <w:rFonts w:hint="default" w:ascii="Times New Roman" w:hAnsi="Times New Roman" w:eastAsia="宋体" w:cs="Times New Roman"/>
          <w:kern w:val="2"/>
          <w:sz w:val="21"/>
          <w:szCs w:val="22"/>
          <w:highlight w:val="none"/>
          <w:lang w:val="en-US" w:eastAsia="zh-CN" w:bidi="ar-SA"/>
        </w:rPr>
      </w:pPr>
      <w:r>
        <w:rPr>
          <w:rFonts w:hint="default" w:ascii="Times New Roman" w:hAnsi="Times New Roman" w:eastAsia="宋体" w:cs="Times New Roman"/>
          <w:kern w:val="2"/>
          <w:sz w:val="24"/>
          <w:szCs w:val="28"/>
          <w:highlight w:val="none"/>
          <w:lang w:val="en-US" w:eastAsia="zh-CN" w:bidi="ar-SA"/>
        </w:rPr>
        <w:t>形成“规范条款-案例验证-结论建议”的完整证据链，证明《建筑碳排放计量器具的配备与管理 施工阶段》的实践价值。</w:t>
      </w:r>
    </w:p>
    <w:p w14:paraId="3E8CD488">
      <w:pPr>
        <w:keepNext w:val="0"/>
        <w:keepLines w:val="0"/>
        <w:pageBreakBefore w:val="0"/>
        <w:widowControl w:val="0"/>
        <w:tabs>
          <w:tab w:val="left" w:pos="3943"/>
        </w:tabs>
        <w:kinsoku/>
        <w:wordWrap/>
        <w:overflowPunct/>
        <w:topLinePunct w:val="0"/>
        <w:autoSpaceDE/>
        <w:autoSpaceDN/>
        <w:bidi w:val="0"/>
        <w:adjustRightInd/>
        <w:snapToGrid/>
        <w:spacing w:before="146" w:beforeLines="50" w:after="146" w:afterLines="50" w:line="360" w:lineRule="auto"/>
        <w:jc w:val="left"/>
        <w:textAlignment w:val="auto"/>
        <w:rPr>
          <w:rFonts w:hint="default" w:ascii="Times New Roman" w:hAnsi="Times New Roman" w:eastAsia="黑体" w:cs="Times New Roman"/>
          <w:b w:val="0"/>
          <w:bCs w:val="0"/>
          <w:kern w:val="2"/>
          <w:sz w:val="28"/>
          <w:szCs w:val="32"/>
          <w:highlight w:val="none"/>
          <w:lang w:val="en-US" w:eastAsia="zh-CN" w:bidi="ar-SA"/>
        </w:rPr>
      </w:pPr>
      <w:r>
        <w:rPr>
          <w:rFonts w:hint="default" w:ascii="Times New Roman" w:hAnsi="Times New Roman" w:eastAsia="黑体" w:cs="Times New Roman"/>
          <w:b w:val="0"/>
          <w:bCs w:val="0"/>
          <w:kern w:val="2"/>
          <w:sz w:val="28"/>
          <w:szCs w:val="32"/>
          <w:highlight w:val="none"/>
          <w:lang w:val="en-US" w:eastAsia="zh-CN" w:bidi="ar-SA"/>
        </w:rPr>
        <w:t>三、内容</w:t>
      </w:r>
    </w:p>
    <w:p w14:paraId="6C6FF3E5">
      <w:pPr>
        <w:keepNext w:val="0"/>
        <w:keepLines w:val="0"/>
        <w:pageBreakBefore w:val="0"/>
        <w:widowControl w:val="0"/>
        <w:numPr>
          <w:ilvl w:val="0"/>
          <w:numId w:val="1"/>
        </w:numPr>
        <w:tabs>
          <w:tab w:val="left" w:pos="3943"/>
        </w:tabs>
        <w:kinsoku/>
        <w:wordWrap/>
        <w:overflowPunct/>
        <w:topLinePunct w:val="0"/>
        <w:autoSpaceDE/>
        <w:autoSpaceDN/>
        <w:bidi w:val="0"/>
        <w:adjustRightInd/>
        <w:snapToGrid/>
        <w:spacing w:line="360" w:lineRule="auto"/>
        <w:jc w:val="left"/>
        <w:textAlignment w:val="auto"/>
        <w:rPr>
          <w:rFonts w:hint="default" w:ascii="Times New Roman" w:hAnsi="Times New Roman" w:eastAsia="宋体" w:cs="Times New Roman"/>
          <w:b/>
          <w:bCs/>
          <w:kern w:val="2"/>
          <w:sz w:val="24"/>
          <w:szCs w:val="28"/>
          <w:highlight w:val="none"/>
          <w:lang w:val="en-US" w:eastAsia="zh-CN" w:bidi="ar-SA"/>
        </w:rPr>
      </w:pPr>
      <w:r>
        <w:rPr>
          <w:rFonts w:hint="default" w:ascii="Times New Roman" w:hAnsi="Times New Roman" w:eastAsia="宋体" w:cs="Times New Roman"/>
          <w:b/>
          <w:bCs/>
          <w:kern w:val="2"/>
          <w:sz w:val="24"/>
          <w:szCs w:val="28"/>
          <w:highlight w:val="none"/>
          <w:lang w:val="en-US" w:eastAsia="zh-CN" w:bidi="ar-SA"/>
        </w:rPr>
        <w:t>规范条款范围</w:t>
      </w:r>
    </w:p>
    <w:p w14:paraId="41C71E83">
      <w:pPr>
        <w:keepNext w:val="0"/>
        <w:keepLines w:val="0"/>
        <w:pageBreakBefore w:val="0"/>
        <w:widowControl w:val="0"/>
        <w:numPr>
          <w:ilvl w:val="0"/>
          <w:numId w:val="0"/>
        </w:numPr>
        <w:tabs>
          <w:tab w:val="left" w:pos="3943"/>
        </w:tabs>
        <w:kinsoku/>
        <w:wordWrap/>
        <w:overflowPunct/>
        <w:topLinePunct w:val="0"/>
        <w:autoSpaceDE/>
        <w:autoSpaceDN/>
        <w:bidi w:val="0"/>
        <w:adjustRightInd/>
        <w:snapToGrid/>
        <w:spacing w:line="360" w:lineRule="auto"/>
        <w:ind w:firstLine="444" w:firstLineChars="200"/>
        <w:jc w:val="left"/>
        <w:textAlignment w:val="auto"/>
        <w:rPr>
          <w:rFonts w:hint="default" w:ascii="Times New Roman" w:hAnsi="Times New Roman" w:eastAsia="宋体" w:cs="Times New Roman"/>
          <w:b w:val="0"/>
          <w:bCs w:val="0"/>
          <w:kern w:val="2"/>
          <w:sz w:val="24"/>
          <w:szCs w:val="28"/>
          <w:highlight w:val="none"/>
          <w:lang w:val="en-US" w:eastAsia="zh-CN" w:bidi="ar-SA"/>
        </w:rPr>
      </w:pPr>
      <w:r>
        <w:rPr>
          <w:rFonts w:hint="default" w:ascii="Times New Roman" w:hAnsi="Times New Roman" w:eastAsia="宋体" w:cs="Times New Roman"/>
          <w:b w:val="0"/>
          <w:bCs w:val="0"/>
          <w:kern w:val="2"/>
          <w:sz w:val="24"/>
          <w:szCs w:val="28"/>
          <w:highlight w:val="none"/>
          <w:lang w:val="en-US" w:eastAsia="zh-CN" w:bidi="ar-SA"/>
        </w:rPr>
        <w:t>聚焦施工规范第4章（计量边界和范围）、第5章（计量器具的配备）、第6章（计量器具管理）、第7章（碳排放计量数据管理），覆盖施工阶段碳计量的核心环节；</w:t>
      </w:r>
    </w:p>
    <w:p w14:paraId="2BA0E4B9">
      <w:pPr>
        <w:keepNext w:val="0"/>
        <w:keepLines w:val="0"/>
        <w:pageBreakBefore w:val="0"/>
        <w:widowControl w:val="0"/>
        <w:numPr>
          <w:ilvl w:val="0"/>
          <w:numId w:val="1"/>
        </w:numPr>
        <w:tabs>
          <w:tab w:val="left" w:pos="3943"/>
        </w:tabs>
        <w:kinsoku/>
        <w:wordWrap/>
        <w:overflowPunct/>
        <w:topLinePunct w:val="0"/>
        <w:autoSpaceDE/>
        <w:autoSpaceDN/>
        <w:bidi w:val="0"/>
        <w:adjustRightInd/>
        <w:snapToGrid/>
        <w:spacing w:line="360" w:lineRule="auto"/>
        <w:ind w:left="0" w:leftChars="0" w:firstLine="0" w:firstLineChars="0"/>
        <w:jc w:val="left"/>
        <w:textAlignment w:val="auto"/>
        <w:rPr>
          <w:rFonts w:hint="default" w:ascii="Times New Roman" w:hAnsi="Times New Roman" w:eastAsia="宋体" w:cs="Times New Roman"/>
          <w:b/>
          <w:bCs/>
          <w:kern w:val="2"/>
          <w:sz w:val="24"/>
          <w:szCs w:val="28"/>
          <w:highlight w:val="none"/>
          <w:lang w:val="en-US" w:eastAsia="zh-CN" w:bidi="ar-SA"/>
        </w:rPr>
      </w:pPr>
      <w:r>
        <w:rPr>
          <w:rFonts w:hint="default" w:ascii="Times New Roman" w:hAnsi="Times New Roman" w:eastAsia="宋体" w:cs="Times New Roman"/>
          <w:b/>
          <w:bCs/>
          <w:kern w:val="2"/>
          <w:sz w:val="24"/>
          <w:szCs w:val="28"/>
          <w:highlight w:val="none"/>
          <w:lang w:val="en-US" w:eastAsia="zh-CN" w:bidi="ar-SA"/>
        </w:rPr>
        <w:t>案例场景范围</w:t>
      </w:r>
    </w:p>
    <w:p w14:paraId="09FCF52B">
      <w:pPr>
        <w:keepNext w:val="0"/>
        <w:keepLines w:val="0"/>
        <w:pageBreakBefore w:val="0"/>
        <w:widowControl w:val="0"/>
        <w:numPr>
          <w:ilvl w:val="0"/>
          <w:numId w:val="0"/>
        </w:numPr>
        <w:tabs>
          <w:tab w:val="left" w:pos="3943"/>
        </w:tabs>
        <w:kinsoku/>
        <w:wordWrap/>
        <w:overflowPunct/>
        <w:topLinePunct w:val="0"/>
        <w:autoSpaceDE/>
        <w:autoSpaceDN/>
        <w:bidi w:val="0"/>
        <w:adjustRightInd/>
        <w:snapToGrid/>
        <w:spacing w:line="360" w:lineRule="auto"/>
        <w:ind w:leftChars="0" w:firstLine="444" w:firstLineChars="200"/>
        <w:jc w:val="left"/>
        <w:textAlignment w:val="auto"/>
        <w:rPr>
          <w:rFonts w:hint="default" w:ascii="Times New Roman" w:hAnsi="Times New Roman" w:eastAsia="宋体" w:cs="Times New Roman"/>
          <w:b/>
          <w:bCs/>
          <w:kern w:val="2"/>
          <w:sz w:val="24"/>
          <w:szCs w:val="28"/>
          <w:highlight w:val="none"/>
          <w:lang w:val="en-US" w:eastAsia="zh-CN" w:bidi="ar-SA"/>
        </w:rPr>
      </w:pPr>
      <w:r>
        <w:rPr>
          <w:rFonts w:hint="default" w:ascii="Times New Roman" w:hAnsi="Times New Roman" w:eastAsia="宋体" w:cs="Times New Roman"/>
          <w:b w:val="0"/>
          <w:bCs w:val="0"/>
          <w:kern w:val="2"/>
          <w:sz w:val="24"/>
          <w:szCs w:val="28"/>
          <w:highlight w:val="none"/>
          <w:lang w:val="en-US" w:eastAsia="zh-CN" w:bidi="ar-SA"/>
        </w:rPr>
        <w:t>常州建科院项目的施工全周期，包括土石方与桩基（2023年3月</w:t>
      </w:r>
      <w:r>
        <w:rPr>
          <w:rFonts w:hint="eastAsia" w:ascii="Times New Roman" w:hAnsi="Times New Roman" w:eastAsia="宋体" w:cs="Times New Roman"/>
          <w:b w:val="0"/>
          <w:bCs w:val="0"/>
          <w:kern w:val="2"/>
          <w:sz w:val="24"/>
          <w:szCs w:val="28"/>
          <w:highlight w:val="none"/>
          <w:lang w:val="en-US" w:eastAsia="zh-CN" w:bidi="ar-SA"/>
        </w:rPr>
        <w:t>-</w:t>
      </w:r>
      <w:r>
        <w:rPr>
          <w:rFonts w:hint="default" w:ascii="Times New Roman" w:hAnsi="Times New Roman" w:eastAsia="宋体" w:cs="Times New Roman"/>
          <w:b w:val="0"/>
          <w:bCs w:val="0"/>
          <w:kern w:val="2"/>
          <w:sz w:val="24"/>
          <w:szCs w:val="28"/>
          <w:highlight w:val="none"/>
          <w:lang w:val="en-US" w:eastAsia="zh-CN" w:bidi="ar-SA"/>
        </w:rPr>
        <w:t>2024年1月）、主体结构施工（2023年12月-2024年12月）、装饰装修与安装（2024年6月-2025年10月）三个阶段，涉及塔吊、施工升降机、液压挖掘机等10类重点排放设备；</w:t>
      </w:r>
    </w:p>
    <w:p w14:paraId="1AE543C3">
      <w:pPr>
        <w:keepNext w:val="0"/>
        <w:keepLines w:val="0"/>
        <w:pageBreakBefore w:val="0"/>
        <w:widowControl w:val="0"/>
        <w:numPr>
          <w:ilvl w:val="0"/>
          <w:numId w:val="1"/>
        </w:numPr>
        <w:tabs>
          <w:tab w:val="left" w:pos="3943"/>
        </w:tabs>
        <w:kinsoku/>
        <w:wordWrap/>
        <w:overflowPunct/>
        <w:topLinePunct w:val="0"/>
        <w:autoSpaceDE/>
        <w:autoSpaceDN/>
        <w:bidi w:val="0"/>
        <w:adjustRightInd/>
        <w:snapToGrid/>
        <w:spacing w:line="360" w:lineRule="auto"/>
        <w:ind w:left="0" w:leftChars="0" w:firstLine="0" w:firstLineChars="0"/>
        <w:jc w:val="left"/>
        <w:textAlignment w:val="auto"/>
        <w:rPr>
          <w:rFonts w:hint="default" w:ascii="Times New Roman" w:hAnsi="Times New Roman" w:eastAsia="宋体" w:cs="Times New Roman"/>
          <w:b/>
          <w:bCs/>
          <w:kern w:val="2"/>
          <w:sz w:val="24"/>
          <w:szCs w:val="28"/>
          <w:highlight w:val="none"/>
          <w:lang w:val="en-US" w:eastAsia="zh-CN" w:bidi="ar-SA"/>
        </w:rPr>
      </w:pPr>
      <w:r>
        <w:rPr>
          <w:rFonts w:hint="default" w:ascii="Times New Roman" w:hAnsi="Times New Roman" w:eastAsia="宋体" w:cs="Times New Roman"/>
          <w:b/>
          <w:bCs/>
          <w:kern w:val="2"/>
          <w:sz w:val="24"/>
          <w:szCs w:val="28"/>
          <w:highlight w:val="none"/>
          <w:lang w:val="en-US" w:eastAsia="zh-CN" w:bidi="ar-SA"/>
        </w:rPr>
        <w:t>数据来源范围</w:t>
      </w:r>
    </w:p>
    <w:p w14:paraId="75E7336A">
      <w:pPr>
        <w:keepNext w:val="0"/>
        <w:keepLines w:val="0"/>
        <w:pageBreakBefore w:val="0"/>
        <w:widowControl w:val="0"/>
        <w:numPr>
          <w:ilvl w:val="0"/>
          <w:numId w:val="0"/>
        </w:numPr>
        <w:tabs>
          <w:tab w:val="left" w:pos="3943"/>
        </w:tabs>
        <w:kinsoku/>
        <w:wordWrap/>
        <w:overflowPunct/>
        <w:topLinePunct w:val="0"/>
        <w:autoSpaceDE/>
        <w:autoSpaceDN/>
        <w:bidi w:val="0"/>
        <w:adjustRightInd/>
        <w:snapToGrid/>
        <w:spacing w:line="360" w:lineRule="auto"/>
        <w:ind w:leftChars="0" w:firstLine="444" w:firstLineChars="200"/>
        <w:jc w:val="left"/>
        <w:textAlignment w:val="auto"/>
        <w:rPr>
          <w:rFonts w:hint="default" w:ascii="Times New Roman" w:hAnsi="Times New Roman" w:eastAsia="宋体" w:cs="Times New Roman"/>
          <w:b/>
          <w:bCs/>
          <w:kern w:val="2"/>
          <w:sz w:val="24"/>
          <w:szCs w:val="28"/>
          <w:highlight w:val="none"/>
          <w:lang w:val="en-US" w:eastAsia="zh-CN" w:bidi="ar-SA"/>
        </w:rPr>
      </w:pPr>
      <w:r>
        <w:rPr>
          <w:rFonts w:hint="default" w:ascii="Times New Roman" w:hAnsi="Times New Roman" w:eastAsia="宋体" w:cs="Times New Roman"/>
          <w:b w:val="0"/>
          <w:bCs w:val="0"/>
          <w:kern w:val="2"/>
          <w:sz w:val="24"/>
          <w:szCs w:val="28"/>
          <w:highlight w:val="none"/>
          <w:lang w:val="en-US" w:eastAsia="zh-CN" w:bidi="ar-SA"/>
        </w:rPr>
        <w:t>试点项目的不同类型的能源、资源计量器具的检定/校准证书、能源统计报表、智慧工地监测平台信息、柴油发票等原始资料等，确保评估数据可追溯。</w:t>
      </w:r>
    </w:p>
    <w:p w14:paraId="3FB90C6A">
      <w:pPr>
        <w:rPr>
          <w:rFonts w:hint="default" w:ascii="Times New Roman" w:hAnsi="Times New Roman" w:eastAsia="宋体" w:cs="Times New Roman"/>
          <w:b/>
          <w:bCs/>
          <w:kern w:val="2"/>
          <w:sz w:val="24"/>
          <w:szCs w:val="28"/>
          <w:highlight w:val="none"/>
          <w:lang w:val="en-US" w:eastAsia="zh-CN" w:bidi="ar-SA"/>
        </w:rPr>
      </w:pPr>
      <w:r>
        <w:rPr>
          <w:rFonts w:hint="default" w:ascii="Times New Roman" w:hAnsi="Times New Roman" w:eastAsia="宋体" w:cs="Times New Roman"/>
          <w:b/>
          <w:bCs/>
          <w:kern w:val="2"/>
          <w:sz w:val="24"/>
          <w:szCs w:val="28"/>
          <w:highlight w:val="none"/>
          <w:lang w:val="en-US" w:eastAsia="zh-CN" w:bidi="ar-SA"/>
        </w:rPr>
        <w:br w:type="page"/>
      </w:r>
    </w:p>
    <w:p w14:paraId="40A7B53C">
      <w:pPr>
        <w:keepNext w:val="0"/>
        <w:keepLines w:val="0"/>
        <w:pageBreakBefore w:val="0"/>
        <w:widowControl w:val="0"/>
        <w:tabs>
          <w:tab w:val="left" w:pos="3943"/>
        </w:tabs>
        <w:kinsoku/>
        <w:wordWrap/>
        <w:overflowPunct/>
        <w:topLinePunct w:val="0"/>
        <w:autoSpaceDE/>
        <w:autoSpaceDN/>
        <w:bidi w:val="0"/>
        <w:adjustRightInd/>
        <w:snapToGrid/>
        <w:spacing w:before="146" w:beforeLines="50" w:after="146" w:afterLines="50" w:line="360" w:lineRule="auto"/>
        <w:jc w:val="left"/>
        <w:textAlignment w:val="auto"/>
        <w:rPr>
          <w:rFonts w:hint="default" w:ascii="Times New Roman" w:hAnsi="Times New Roman" w:eastAsia="黑体" w:cs="Times New Roman"/>
          <w:b w:val="0"/>
          <w:bCs w:val="0"/>
          <w:kern w:val="2"/>
          <w:sz w:val="28"/>
          <w:szCs w:val="32"/>
          <w:highlight w:val="none"/>
          <w:lang w:val="en-US" w:eastAsia="zh-CN" w:bidi="ar-SA"/>
        </w:rPr>
      </w:pPr>
      <w:r>
        <w:rPr>
          <w:rFonts w:hint="default" w:ascii="Times New Roman" w:hAnsi="Times New Roman" w:eastAsia="黑体" w:cs="Times New Roman"/>
          <w:b w:val="0"/>
          <w:bCs w:val="0"/>
          <w:kern w:val="2"/>
          <w:sz w:val="28"/>
          <w:szCs w:val="32"/>
          <w:highlight w:val="none"/>
          <w:lang w:val="en-US" w:eastAsia="zh-CN" w:bidi="ar-SA"/>
        </w:rPr>
        <w:t>四、规范核心条款可操作性验证</w:t>
      </w:r>
    </w:p>
    <w:p w14:paraId="24597FA6">
      <w:pPr>
        <w:keepNext w:val="0"/>
        <w:keepLines w:val="0"/>
        <w:pageBreakBefore w:val="0"/>
        <w:widowControl w:val="0"/>
        <w:numPr>
          <w:ilvl w:val="0"/>
          <w:numId w:val="0"/>
        </w:numPr>
        <w:tabs>
          <w:tab w:val="left" w:pos="3943"/>
        </w:tabs>
        <w:kinsoku/>
        <w:wordWrap/>
        <w:overflowPunct/>
        <w:topLinePunct w:val="0"/>
        <w:autoSpaceDE/>
        <w:autoSpaceDN/>
        <w:bidi w:val="0"/>
        <w:adjustRightInd/>
        <w:snapToGrid/>
        <w:spacing w:before="146" w:beforeLines="50" w:after="146" w:afterLines="50" w:line="360" w:lineRule="auto"/>
        <w:jc w:val="left"/>
        <w:textAlignment w:val="auto"/>
        <w:rPr>
          <w:rFonts w:hint="default" w:ascii="Times New Roman" w:hAnsi="Times New Roman" w:eastAsia="宋体" w:cs="Times New Roman"/>
          <w:b/>
          <w:bCs/>
          <w:kern w:val="2"/>
          <w:sz w:val="24"/>
          <w:szCs w:val="28"/>
          <w:highlight w:val="none"/>
          <w:lang w:val="en-US" w:eastAsia="zh-CN" w:bidi="ar-SA"/>
        </w:rPr>
      </w:pPr>
      <w:r>
        <w:rPr>
          <w:rFonts w:hint="default" w:ascii="Times New Roman" w:hAnsi="Times New Roman" w:eastAsia="宋体" w:cs="Times New Roman"/>
          <w:b/>
          <w:bCs/>
          <w:kern w:val="2"/>
          <w:sz w:val="24"/>
          <w:szCs w:val="28"/>
          <w:highlight w:val="none"/>
          <w:lang w:val="en-US" w:eastAsia="zh-CN" w:bidi="ar-SA"/>
        </w:rPr>
        <w:t>1、试点项目基本信息</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34"/>
        <w:gridCol w:w="3456"/>
        <w:gridCol w:w="1591"/>
        <w:gridCol w:w="3273"/>
      </w:tblGrid>
      <w:tr w14:paraId="6DE075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trPr>
        <w:tc>
          <w:tcPr>
            <w:tcW w:w="14174" w:type="dxa"/>
            <w:gridSpan w:val="4"/>
            <w:vAlign w:val="center"/>
          </w:tcPr>
          <w:p w14:paraId="4938B87D">
            <w:pPr>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color w:val="auto"/>
                <w:spacing w:val="23"/>
                <w:sz w:val="21"/>
                <w:szCs w:val="21"/>
                <w:highlight w:val="none"/>
                <w:vertAlign w:val="baseline"/>
                <w:lang w:val="en-US" w:eastAsia="zh-CN" w:bidi="en-US"/>
              </w:rPr>
            </w:pPr>
            <w:r>
              <w:rPr>
                <w:rFonts w:hint="default" w:ascii="Times New Roman" w:hAnsi="Times New Roman" w:eastAsia="宋体" w:cs="Times New Roman"/>
                <w:b/>
                <w:color w:val="auto"/>
                <w:spacing w:val="23"/>
                <w:sz w:val="21"/>
                <w:szCs w:val="21"/>
                <w:highlight w:val="none"/>
                <w:vertAlign w:val="baseline"/>
                <w:lang w:val="en-US" w:eastAsia="zh-CN" w:bidi="en-US"/>
              </w:rPr>
              <w:t>项目基本信息</w:t>
            </w:r>
          </w:p>
        </w:tc>
      </w:tr>
      <w:tr w14:paraId="717E45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trPr>
        <w:tc>
          <w:tcPr>
            <w:tcW w:w="2428" w:type="dxa"/>
            <w:vAlign w:val="center"/>
          </w:tcPr>
          <w:p w14:paraId="492A2B60">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default" w:ascii="Times New Roman" w:hAnsi="Times New Roman" w:eastAsia="宋体" w:cs="Times New Roman"/>
                <w:b w:val="0"/>
                <w:bCs/>
                <w:color w:val="auto"/>
                <w:spacing w:val="0"/>
                <w:sz w:val="21"/>
                <w:szCs w:val="21"/>
                <w:highlight w:val="none"/>
                <w:vertAlign w:val="baseline"/>
                <w:lang w:val="en-US" w:eastAsia="zh-CN" w:bidi="en-US"/>
              </w:rPr>
            </w:pPr>
            <w:r>
              <w:rPr>
                <w:rFonts w:hint="default" w:ascii="Times New Roman" w:hAnsi="Times New Roman" w:eastAsia="宋体" w:cs="Times New Roman"/>
                <w:b w:val="0"/>
                <w:bCs/>
                <w:color w:val="auto"/>
                <w:spacing w:val="0"/>
                <w:sz w:val="21"/>
                <w:szCs w:val="21"/>
                <w:highlight w:val="none"/>
                <w:vertAlign w:val="baseline"/>
                <w:lang w:val="en-US" w:eastAsia="zh-CN" w:bidi="en-US"/>
              </w:rPr>
              <w:t>自评单位</w:t>
            </w:r>
          </w:p>
        </w:tc>
        <w:tc>
          <w:tcPr>
            <w:tcW w:w="4658" w:type="dxa"/>
            <w:vAlign w:val="center"/>
          </w:tcPr>
          <w:p w14:paraId="5453B1D5">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default" w:ascii="Times New Roman" w:hAnsi="Times New Roman" w:eastAsia="宋体" w:cs="Times New Roman"/>
                <w:b w:val="0"/>
                <w:bCs/>
                <w:color w:val="auto"/>
                <w:spacing w:val="0"/>
                <w:sz w:val="21"/>
                <w:szCs w:val="21"/>
                <w:highlight w:val="none"/>
                <w:vertAlign w:val="baseline"/>
                <w:lang w:val="en-US" w:eastAsia="zh-CN" w:bidi="en-US"/>
              </w:rPr>
            </w:pPr>
            <w:r>
              <w:rPr>
                <w:rFonts w:hint="default" w:ascii="Times New Roman" w:hAnsi="Times New Roman" w:eastAsia="宋体" w:cs="Times New Roman"/>
                <w:b w:val="0"/>
                <w:bCs/>
                <w:color w:val="auto"/>
                <w:spacing w:val="0"/>
                <w:sz w:val="21"/>
                <w:szCs w:val="21"/>
                <w:highlight w:val="none"/>
                <w:vertAlign w:val="baseline"/>
                <w:lang w:val="en-US" w:eastAsia="zh-CN" w:bidi="en-US"/>
              </w:rPr>
              <w:t>联检（江苏）科技股份有限公司</w:t>
            </w:r>
          </w:p>
        </w:tc>
        <w:tc>
          <w:tcPr>
            <w:tcW w:w="2378" w:type="dxa"/>
            <w:vAlign w:val="center"/>
          </w:tcPr>
          <w:p w14:paraId="6E70FB90">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default" w:ascii="Times New Roman" w:hAnsi="Times New Roman" w:eastAsia="宋体" w:cs="Times New Roman"/>
                <w:b w:val="0"/>
                <w:bCs/>
                <w:color w:val="auto"/>
                <w:spacing w:val="0"/>
                <w:sz w:val="21"/>
                <w:szCs w:val="21"/>
                <w:highlight w:val="none"/>
                <w:vertAlign w:val="baseline"/>
                <w:lang w:val="en-US" w:eastAsia="zh-CN" w:bidi="en-US"/>
              </w:rPr>
            </w:pPr>
            <w:r>
              <w:rPr>
                <w:rFonts w:hint="default" w:ascii="Times New Roman" w:hAnsi="Times New Roman" w:eastAsia="宋体" w:cs="Times New Roman"/>
                <w:b w:val="0"/>
                <w:bCs/>
                <w:color w:val="auto"/>
                <w:spacing w:val="0"/>
                <w:sz w:val="21"/>
                <w:szCs w:val="21"/>
                <w:highlight w:val="none"/>
                <w:vertAlign w:val="baseline"/>
                <w:lang w:val="en-US" w:eastAsia="zh-CN" w:bidi="en-US"/>
              </w:rPr>
              <w:t>试点项目名称</w:t>
            </w:r>
          </w:p>
        </w:tc>
        <w:tc>
          <w:tcPr>
            <w:tcW w:w="4710" w:type="dxa"/>
            <w:vAlign w:val="center"/>
          </w:tcPr>
          <w:p w14:paraId="54EE5BCF">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default" w:ascii="Times New Roman" w:hAnsi="Times New Roman" w:eastAsia="宋体" w:cs="Times New Roman"/>
                <w:b w:val="0"/>
                <w:bCs/>
                <w:color w:val="auto"/>
                <w:spacing w:val="0"/>
                <w:sz w:val="21"/>
                <w:szCs w:val="21"/>
                <w:highlight w:val="none"/>
                <w:vertAlign w:val="baseline"/>
                <w:lang w:val="en-US" w:eastAsia="zh-CN" w:bidi="en-US"/>
              </w:rPr>
            </w:pPr>
            <w:r>
              <w:rPr>
                <w:rFonts w:hint="default" w:ascii="Times New Roman" w:hAnsi="Times New Roman" w:eastAsia="宋体" w:cs="Times New Roman"/>
                <w:b w:val="0"/>
                <w:bCs/>
                <w:color w:val="auto"/>
                <w:spacing w:val="0"/>
                <w:sz w:val="21"/>
                <w:szCs w:val="21"/>
                <w:highlight w:val="none"/>
                <w:vertAlign w:val="baseline"/>
                <w:lang w:val="en-US" w:eastAsia="zh-CN" w:bidi="en-US"/>
              </w:rPr>
              <w:t>常州市建筑科学研究院集团股份有限公司检验检测总部建设项目</w:t>
            </w:r>
          </w:p>
        </w:tc>
      </w:tr>
      <w:tr w14:paraId="5EE3E1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trPr>
        <w:tc>
          <w:tcPr>
            <w:tcW w:w="2428" w:type="dxa"/>
            <w:vAlign w:val="center"/>
          </w:tcPr>
          <w:p w14:paraId="2BBE6584">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default" w:ascii="Times New Roman" w:hAnsi="Times New Roman" w:eastAsia="宋体" w:cs="Times New Roman"/>
                <w:b w:val="0"/>
                <w:bCs/>
                <w:color w:val="auto"/>
                <w:spacing w:val="0"/>
                <w:sz w:val="21"/>
                <w:szCs w:val="21"/>
                <w:highlight w:val="none"/>
                <w:vertAlign w:val="baseline"/>
                <w:lang w:val="en-US" w:eastAsia="zh-CN" w:bidi="en-US"/>
              </w:rPr>
            </w:pPr>
            <w:r>
              <w:rPr>
                <w:rFonts w:hint="default" w:ascii="Times New Roman" w:hAnsi="Times New Roman" w:eastAsia="宋体" w:cs="Times New Roman"/>
                <w:b w:val="0"/>
                <w:bCs/>
                <w:color w:val="auto"/>
                <w:spacing w:val="0"/>
                <w:sz w:val="21"/>
                <w:szCs w:val="21"/>
                <w:highlight w:val="none"/>
                <w:vertAlign w:val="baseline"/>
                <w:lang w:val="en-US" w:eastAsia="zh-CN" w:bidi="en-US"/>
              </w:rPr>
              <w:t>项目地点</w:t>
            </w:r>
          </w:p>
        </w:tc>
        <w:tc>
          <w:tcPr>
            <w:tcW w:w="4658" w:type="dxa"/>
            <w:vAlign w:val="center"/>
          </w:tcPr>
          <w:p w14:paraId="4600FE87">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default" w:ascii="Times New Roman" w:hAnsi="Times New Roman" w:eastAsia="宋体" w:cs="Times New Roman"/>
                <w:b w:val="0"/>
                <w:bCs/>
                <w:color w:val="auto"/>
                <w:spacing w:val="0"/>
                <w:sz w:val="21"/>
                <w:szCs w:val="21"/>
                <w:highlight w:val="none"/>
                <w:vertAlign w:val="baseline"/>
                <w:lang w:val="en-US" w:eastAsia="zh-CN" w:bidi="en-US"/>
              </w:rPr>
            </w:pPr>
            <w:r>
              <w:rPr>
                <w:rFonts w:hint="default" w:ascii="Times New Roman" w:hAnsi="Times New Roman" w:eastAsia="宋体" w:cs="Times New Roman"/>
                <w:b w:val="0"/>
                <w:bCs/>
                <w:color w:val="auto"/>
                <w:spacing w:val="0"/>
                <w:sz w:val="21"/>
                <w:szCs w:val="21"/>
                <w:highlight w:val="none"/>
                <w:vertAlign w:val="baseline"/>
                <w:lang w:val="en-US" w:eastAsia="zh-CN" w:bidi="en-US"/>
              </w:rPr>
              <w:t>常州市钟楼区长江中路西侧、港务路北侧</w:t>
            </w:r>
          </w:p>
        </w:tc>
        <w:tc>
          <w:tcPr>
            <w:tcW w:w="2378" w:type="dxa"/>
            <w:vAlign w:val="center"/>
          </w:tcPr>
          <w:p w14:paraId="732F2A2F">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default" w:ascii="Times New Roman" w:hAnsi="Times New Roman" w:eastAsia="宋体" w:cs="Times New Roman"/>
                <w:b w:val="0"/>
                <w:bCs/>
                <w:color w:val="auto"/>
                <w:spacing w:val="0"/>
                <w:sz w:val="21"/>
                <w:szCs w:val="21"/>
                <w:highlight w:val="none"/>
                <w:vertAlign w:val="baseline"/>
                <w:lang w:val="en-US" w:eastAsia="zh-CN" w:bidi="en-US"/>
              </w:rPr>
            </w:pPr>
            <w:r>
              <w:rPr>
                <w:rFonts w:hint="default" w:ascii="Times New Roman" w:hAnsi="Times New Roman" w:eastAsia="宋体" w:cs="Times New Roman"/>
                <w:b w:val="0"/>
                <w:bCs/>
                <w:color w:val="auto"/>
                <w:spacing w:val="0"/>
                <w:sz w:val="21"/>
                <w:szCs w:val="21"/>
                <w:highlight w:val="none"/>
                <w:vertAlign w:val="baseline"/>
                <w:lang w:val="en-US" w:eastAsia="zh-CN" w:bidi="en-US"/>
              </w:rPr>
              <w:t>建筑面积</w:t>
            </w:r>
          </w:p>
        </w:tc>
        <w:tc>
          <w:tcPr>
            <w:tcW w:w="4710" w:type="dxa"/>
            <w:vAlign w:val="center"/>
          </w:tcPr>
          <w:p w14:paraId="3216A0EB">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default" w:ascii="Times New Roman" w:hAnsi="Times New Roman" w:eastAsia="宋体" w:cs="Times New Roman"/>
                <w:b w:val="0"/>
                <w:bCs/>
                <w:color w:val="auto"/>
                <w:spacing w:val="0"/>
                <w:sz w:val="21"/>
                <w:szCs w:val="21"/>
                <w:highlight w:val="none"/>
                <w:vertAlign w:val="baseline"/>
                <w:lang w:val="en-US" w:eastAsia="zh-CN" w:bidi="en-US"/>
              </w:rPr>
            </w:pPr>
            <w:r>
              <w:rPr>
                <w:rFonts w:hint="default" w:ascii="Times New Roman" w:hAnsi="Times New Roman" w:eastAsia="宋体" w:cs="Times New Roman"/>
                <w:b w:val="0"/>
                <w:bCs/>
                <w:color w:val="auto"/>
                <w:spacing w:val="0"/>
                <w:sz w:val="21"/>
                <w:szCs w:val="21"/>
                <w:highlight w:val="none"/>
                <w:vertAlign w:val="baseline"/>
                <w:lang w:val="en-US" w:eastAsia="zh-CN" w:bidi="en-US"/>
              </w:rPr>
              <w:t>94845.35m</w:t>
            </w:r>
            <w:r>
              <w:rPr>
                <w:rFonts w:hint="default" w:ascii="Times New Roman" w:hAnsi="Times New Roman" w:eastAsia="宋体" w:cs="Times New Roman"/>
                <w:b w:val="0"/>
                <w:bCs/>
                <w:color w:val="auto"/>
                <w:spacing w:val="0"/>
                <w:sz w:val="21"/>
                <w:szCs w:val="21"/>
                <w:highlight w:val="none"/>
                <w:vertAlign w:val="superscript"/>
                <w:lang w:val="en-US" w:eastAsia="zh-CN" w:bidi="en-US"/>
              </w:rPr>
              <w:t>2</w:t>
            </w:r>
          </w:p>
        </w:tc>
      </w:tr>
      <w:tr w14:paraId="5599F8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trPr>
        <w:tc>
          <w:tcPr>
            <w:tcW w:w="2428" w:type="dxa"/>
            <w:vAlign w:val="center"/>
          </w:tcPr>
          <w:p w14:paraId="1991EB4B">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default" w:ascii="Times New Roman" w:hAnsi="Times New Roman" w:eastAsia="宋体" w:cs="Times New Roman"/>
                <w:b w:val="0"/>
                <w:bCs/>
                <w:color w:val="auto"/>
                <w:spacing w:val="0"/>
                <w:sz w:val="21"/>
                <w:szCs w:val="21"/>
                <w:highlight w:val="none"/>
                <w:vertAlign w:val="baseline"/>
                <w:lang w:val="en-US" w:eastAsia="zh-CN" w:bidi="en-US"/>
              </w:rPr>
            </w:pPr>
            <w:r>
              <w:rPr>
                <w:rFonts w:hint="default" w:ascii="Times New Roman" w:hAnsi="Times New Roman" w:eastAsia="宋体" w:cs="Times New Roman"/>
                <w:b w:val="0"/>
                <w:bCs/>
                <w:color w:val="auto"/>
                <w:spacing w:val="0"/>
                <w:sz w:val="21"/>
                <w:szCs w:val="21"/>
                <w:highlight w:val="none"/>
                <w:vertAlign w:val="baseline"/>
                <w:lang w:val="en-US" w:eastAsia="zh-CN" w:bidi="en-US"/>
              </w:rPr>
              <w:t>建筑类型</w:t>
            </w:r>
          </w:p>
        </w:tc>
        <w:tc>
          <w:tcPr>
            <w:tcW w:w="4658" w:type="dxa"/>
            <w:vAlign w:val="center"/>
          </w:tcPr>
          <w:p w14:paraId="37B5A6C1">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lang w:val="en-US" w:eastAsia="zh-CN"/>
              </w:rPr>
              <w:t xml:space="preserve">单体公共建筑   </w:t>
            </w:r>
            <w:r>
              <w:rPr>
                <w:rFonts w:hint="default" w:ascii="Times New Roman" w:hAnsi="Times New Roman" w:eastAsia="宋体" w:cs="Times New Roman"/>
                <w:color w:val="auto"/>
                <w:sz w:val="21"/>
                <w:szCs w:val="21"/>
                <w:highlight w:val="none"/>
              </w:rPr>
              <w:t>□</w:t>
            </w:r>
            <w:r>
              <w:rPr>
                <w:rFonts w:hint="default" w:ascii="Times New Roman" w:hAnsi="Times New Roman" w:eastAsia="宋体" w:cs="Times New Roman"/>
                <w:color w:val="auto"/>
                <w:sz w:val="21"/>
                <w:szCs w:val="21"/>
                <w:highlight w:val="none"/>
                <w:lang w:val="en-US" w:eastAsia="zh-CN"/>
              </w:rPr>
              <w:t>单体居住建筑</w:t>
            </w:r>
          </w:p>
          <w:p w14:paraId="471E9944">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w:t>
            </w:r>
            <w:r>
              <w:rPr>
                <w:rFonts w:hint="default" w:ascii="Times New Roman" w:hAnsi="Times New Roman" w:eastAsia="宋体" w:cs="Times New Roman"/>
                <w:color w:val="auto"/>
                <w:sz w:val="21"/>
                <w:szCs w:val="21"/>
                <w:highlight w:val="none"/>
                <w:lang w:val="en-US" w:eastAsia="zh-CN"/>
              </w:rPr>
              <w:t xml:space="preserve">公共建筑群（园区等）   </w:t>
            </w:r>
            <w:r>
              <w:rPr>
                <w:rFonts w:hint="default" w:ascii="Times New Roman" w:hAnsi="Times New Roman" w:eastAsia="宋体" w:cs="Times New Roman"/>
                <w:color w:val="auto"/>
                <w:sz w:val="21"/>
                <w:szCs w:val="21"/>
                <w:highlight w:val="none"/>
              </w:rPr>
              <w:t>□</w:t>
            </w:r>
            <w:r>
              <w:rPr>
                <w:rFonts w:hint="default" w:ascii="Times New Roman" w:hAnsi="Times New Roman" w:eastAsia="宋体" w:cs="Times New Roman"/>
                <w:color w:val="auto"/>
                <w:sz w:val="21"/>
                <w:szCs w:val="21"/>
                <w:highlight w:val="none"/>
                <w:lang w:val="en-US" w:eastAsia="zh-CN"/>
              </w:rPr>
              <w:t>居住建筑群</w:t>
            </w:r>
          </w:p>
          <w:p w14:paraId="7D2C717D">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w:t>
            </w:r>
            <w:r>
              <w:rPr>
                <w:rFonts w:hint="default" w:ascii="Times New Roman" w:hAnsi="Times New Roman" w:eastAsia="宋体" w:cs="Times New Roman"/>
                <w:color w:val="auto"/>
                <w:sz w:val="21"/>
                <w:szCs w:val="21"/>
                <w:highlight w:val="none"/>
                <w:lang w:val="en-US" w:eastAsia="zh-CN"/>
              </w:rPr>
              <w:t xml:space="preserve">区域/城市整体   </w:t>
            </w: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lang w:val="en-US" w:eastAsia="zh-CN"/>
              </w:rPr>
              <w:t>施工类工程项目</w:t>
            </w:r>
          </w:p>
          <w:p w14:paraId="3E477A7A">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w:t>
            </w:r>
            <w:r>
              <w:rPr>
                <w:rFonts w:hint="default" w:ascii="Times New Roman" w:hAnsi="Times New Roman" w:eastAsia="宋体" w:cs="Times New Roman"/>
                <w:color w:val="auto"/>
                <w:sz w:val="21"/>
                <w:szCs w:val="21"/>
                <w:highlight w:val="none"/>
                <w:lang w:val="en-US" w:eastAsia="zh-CN"/>
              </w:rPr>
              <w:t>企业生产，具体为：__________________</w:t>
            </w:r>
          </w:p>
        </w:tc>
        <w:tc>
          <w:tcPr>
            <w:tcW w:w="2378" w:type="dxa"/>
            <w:shd w:val="clear" w:color="auto" w:fill="auto"/>
            <w:vAlign w:val="center"/>
          </w:tcPr>
          <w:p w14:paraId="2FF5D77E">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default" w:ascii="Times New Roman" w:hAnsi="Times New Roman" w:eastAsia="宋体" w:cs="Times New Roman"/>
                <w:b w:val="0"/>
                <w:bCs/>
                <w:color w:val="auto"/>
                <w:spacing w:val="0"/>
                <w:sz w:val="21"/>
                <w:szCs w:val="21"/>
                <w:highlight w:val="none"/>
                <w:vertAlign w:val="baseline"/>
                <w:lang w:val="en-US" w:eastAsia="zh-CN" w:bidi="en-US"/>
              </w:rPr>
            </w:pPr>
            <w:r>
              <w:rPr>
                <w:rFonts w:hint="default" w:ascii="Times New Roman" w:hAnsi="Times New Roman" w:eastAsia="宋体" w:cs="Times New Roman"/>
                <w:b w:val="0"/>
                <w:bCs/>
                <w:color w:val="auto"/>
                <w:spacing w:val="0"/>
                <w:sz w:val="21"/>
                <w:szCs w:val="21"/>
                <w:highlight w:val="none"/>
                <w:vertAlign w:val="baseline"/>
                <w:lang w:val="en-US" w:eastAsia="zh-CN" w:bidi="en-US"/>
              </w:rPr>
              <w:t>建筑碳排放计量所涉阶段</w:t>
            </w:r>
          </w:p>
          <w:p w14:paraId="3332B9E9">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default" w:ascii="Times New Roman" w:hAnsi="Times New Roman" w:eastAsia="宋体" w:cs="Times New Roman"/>
                <w:b w:val="0"/>
                <w:bCs/>
                <w:color w:val="auto"/>
                <w:spacing w:val="0"/>
                <w:kern w:val="2"/>
                <w:sz w:val="21"/>
                <w:szCs w:val="21"/>
                <w:highlight w:val="none"/>
                <w:vertAlign w:val="baseline"/>
                <w:lang w:val="en-US" w:eastAsia="zh-CN" w:bidi="en-US"/>
              </w:rPr>
            </w:pPr>
            <w:r>
              <w:rPr>
                <w:rFonts w:hint="default" w:ascii="Times New Roman" w:hAnsi="Times New Roman" w:eastAsia="宋体" w:cs="Times New Roman"/>
                <w:b w:val="0"/>
                <w:bCs/>
                <w:color w:val="auto"/>
                <w:spacing w:val="0"/>
                <w:sz w:val="21"/>
                <w:szCs w:val="21"/>
                <w:highlight w:val="none"/>
                <w:vertAlign w:val="baseline"/>
                <w:lang w:val="en-US" w:eastAsia="zh-CN" w:bidi="en-US"/>
              </w:rPr>
              <w:t>（可多选）</w:t>
            </w:r>
          </w:p>
        </w:tc>
        <w:tc>
          <w:tcPr>
            <w:tcW w:w="4710" w:type="dxa"/>
            <w:shd w:val="clear" w:color="auto" w:fill="auto"/>
            <w:vAlign w:val="center"/>
          </w:tcPr>
          <w:p w14:paraId="5BAA9B4C">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lang w:val="en-US" w:eastAsia="zh-CN"/>
              </w:rPr>
              <w:t xml:space="preserve">建材及构配件生产加工  </w:t>
            </w: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lang w:val="en-US" w:eastAsia="zh-CN"/>
              </w:rPr>
              <w:t>建材及构配件运输</w:t>
            </w:r>
          </w:p>
          <w:p w14:paraId="65762D41">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lang w:val="en-US" w:eastAsia="zh-CN"/>
              </w:rPr>
              <w:t xml:space="preserve">建筑施工建造    </w:t>
            </w: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lang w:val="en-US" w:eastAsia="zh-CN"/>
              </w:rPr>
              <w:t xml:space="preserve">建筑运行    </w:t>
            </w:r>
            <w:r>
              <w:rPr>
                <w:rFonts w:hint="default" w:ascii="Times New Roman" w:hAnsi="Times New Roman" w:eastAsia="宋体" w:cs="Times New Roman"/>
                <w:color w:val="auto"/>
                <w:sz w:val="21"/>
                <w:szCs w:val="21"/>
                <w:highlight w:val="none"/>
              </w:rPr>
              <w:t>□</w:t>
            </w:r>
            <w:r>
              <w:rPr>
                <w:rFonts w:hint="default" w:ascii="Times New Roman" w:hAnsi="Times New Roman" w:eastAsia="宋体" w:cs="Times New Roman"/>
                <w:color w:val="auto"/>
                <w:sz w:val="21"/>
                <w:szCs w:val="21"/>
                <w:highlight w:val="none"/>
                <w:lang w:val="en-US" w:eastAsia="zh-CN"/>
              </w:rPr>
              <w:t>建筑拆除</w:t>
            </w:r>
          </w:p>
          <w:p w14:paraId="68FA411E">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w:t>
            </w:r>
            <w:r>
              <w:rPr>
                <w:rFonts w:hint="default" w:ascii="Times New Roman" w:hAnsi="Times New Roman" w:eastAsia="宋体" w:cs="Times New Roman"/>
                <w:color w:val="auto"/>
                <w:sz w:val="21"/>
                <w:szCs w:val="21"/>
                <w:highlight w:val="none"/>
                <w:lang w:val="en-US" w:eastAsia="zh-CN"/>
              </w:rPr>
              <w:t>其他：_____________</w:t>
            </w:r>
          </w:p>
        </w:tc>
      </w:tr>
      <w:tr w14:paraId="465D87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trPr>
        <w:tc>
          <w:tcPr>
            <w:tcW w:w="2428" w:type="dxa"/>
            <w:shd w:val="clear" w:color="auto" w:fill="auto"/>
            <w:vAlign w:val="center"/>
          </w:tcPr>
          <w:p w14:paraId="52F98808">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default" w:ascii="Times New Roman" w:hAnsi="Times New Roman" w:eastAsia="宋体" w:cs="Times New Roman"/>
                <w:b w:val="0"/>
                <w:bCs/>
                <w:color w:val="auto"/>
                <w:spacing w:val="0"/>
                <w:kern w:val="2"/>
                <w:sz w:val="21"/>
                <w:szCs w:val="21"/>
                <w:highlight w:val="none"/>
                <w:vertAlign w:val="baseline"/>
                <w:lang w:val="en-US" w:eastAsia="zh-CN" w:bidi="en-US"/>
              </w:rPr>
            </w:pPr>
            <w:r>
              <w:rPr>
                <w:rFonts w:hint="default" w:ascii="Times New Roman" w:hAnsi="Times New Roman" w:eastAsia="宋体" w:cs="Times New Roman"/>
                <w:b w:val="0"/>
                <w:bCs/>
                <w:color w:val="auto"/>
                <w:spacing w:val="0"/>
                <w:sz w:val="21"/>
                <w:szCs w:val="21"/>
                <w:highlight w:val="none"/>
                <w:vertAlign w:val="baseline"/>
                <w:lang w:val="en-US" w:eastAsia="zh-CN" w:bidi="en-US"/>
              </w:rPr>
              <w:t>目前计量是否仍在持续</w:t>
            </w:r>
          </w:p>
        </w:tc>
        <w:tc>
          <w:tcPr>
            <w:tcW w:w="4658" w:type="dxa"/>
            <w:shd w:val="clear" w:color="auto" w:fill="auto"/>
            <w:vAlign w:val="center"/>
          </w:tcPr>
          <w:p w14:paraId="7C66040C">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lang w:val="en-US" w:eastAsia="zh-CN"/>
              </w:rPr>
              <w:t xml:space="preserve">是        </w:t>
            </w:r>
            <w:r>
              <w:rPr>
                <w:rFonts w:hint="default" w:ascii="Times New Roman" w:hAnsi="Times New Roman" w:eastAsia="宋体" w:cs="Times New Roman"/>
                <w:color w:val="auto"/>
                <w:sz w:val="21"/>
                <w:szCs w:val="21"/>
                <w:highlight w:val="none"/>
              </w:rPr>
              <w:t>□</w:t>
            </w:r>
            <w:r>
              <w:rPr>
                <w:rFonts w:hint="default" w:ascii="Times New Roman" w:hAnsi="Times New Roman" w:eastAsia="宋体" w:cs="Times New Roman"/>
                <w:color w:val="auto"/>
                <w:sz w:val="21"/>
                <w:szCs w:val="21"/>
                <w:highlight w:val="none"/>
                <w:lang w:val="en-US" w:eastAsia="zh-CN"/>
              </w:rPr>
              <w:t>否</w:t>
            </w:r>
          </w:p>
          <w:p w14:paraId="6FA6BAE4">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default" w:ascii="Times New Roman" w:hAnsi="Times New Roman" w:eastAsia="宋体" w:cs="Times New Roman"/>
                <w:bCs/>
                <w:color w:val="auto"/>
                <w:sz w:val="21"/>
                <w:szCs w:val="21"/>
                <w:highlight w:val="none"/>
                <w:u w:val="single"/>
                <w:lang w:val="en-US" w:eastAsia="zh-CN"/>
              </w:rPr>
            </w:pP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lang w:val="en-US" w:eastAsia="zh-CN"/>
              </w:rPr>
              <w:t>部分计量功能持续：___________</w:t>
            </w:r>
          </w:p>
          <w:p w14:paraId="487CD737">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w:t>
            </w:r>
            <w:r>
              <w:rPr>
                <w:rFonts w:hint="default" w:ascii="Times New Roman" w:hAnsi="Times New Roman" w:eastAsia="宋体" w:cs="Times New Roman"/>
                <w:color w:val="auto"/>
                <w:sz w:val="21"/>
                <w:szCs w:val="21"/>
                <w:highlight w:val="none"/>
                <w:lang w:val="en-US" w:eastAsia="zh-CN"/>
              </w:rPr>
              <w:t>已结束，无持续需求</w:t>
            </w:r>
          </w:p>
        </w:tc>
        <w:tc>
          <w:tcPr>
            <w:tcW w:w="2378" w:type="dxa"/>
            <w:shd w:val="clear" w:color="auto" w:fill="auto"/>
            <w:vAlign w:val="center"/>
          </w:tcPr>
          <w:p w14:paraId="666040D4">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default" w:ascii="Times New Roman" w:hAnsi="Times New Roman" w:eastAsia="宋体" w:cs="Times New Roman"/>
                <w:b w:val="0"/>
                <w:bCs/>
                <w:color w:val="auto"/>
                <w:spacing w:val="0"/>
                <w:sz w:val="21"/>
                <w:szCs w:val="21"/>
                <w:highlight w:val="none"/>
                <w:vertAlign w:val="baseline"/>
                <w:lang w:val="en-US" w:eastAsia="zh-CN" w:bidi="en-US"/>
              </w:rPr>
            </w:pPr>
            <w:r>
              <w:rPr>
                <w:rFonts w:hint="default" w:ascii="Times New Roman" w:hAnsi="Times New Roman" w:eastAsia="宋体" w:cs="Times New Roman"/>
                <w:b w:val="0"/>
                <w:bCs/>
                <w:color w:val="auto"/>
                <w:spacing w:val="0"/>
                <w:sz w:val="21"/>
                <w:szCs w:val="21"/>
                <w:highlight w:val="none"/>
                <w:vertAlign w:val="baseline"/>
                <w:lang w:val="en-US" w:eastAsia="zh-CN" w:bidi="en-US"/>
              </w:rPr>
              <w:t>计量数据是否汇总到</w:t>
            </w:r>
          </w:p>
          <w:p w14:paraId="721C4070">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default" w:ascii="Times New Roman" w:hAnsi="Times New Roman" w:eastAsia="宋体" w:cs="Times New Roman"/>
                <w:b w:val="0"/>
                <w:bCs/>
                <w:color w:val="auto"/>
                <w:spacing w:val="0"/>
                <w:kern w:val="2"/>
                <w:sz w:val="21"/>
                <w:szCs w:val="21"/>
                <w:highlight w:val="none"/>
                <w:vertAlign w:val="baseline"/>
                <w:lang w:val="en-US" w:eastAsia="zh-CN" w:bidi="en-US"/>
              </w:rPr>
            </w:pPr>
            <w:r>
              <w:rPr>
                <w:rFonts w:hint="default" w:ascii="Times New Roman" w:hAnsi="Times New Roman" w:eastAsia="宋体" w:cs="Times New Roman"/>
                <w:b w:val="0"/>
                <w:bCs/>
                <w:color w:val="auto"/>
                <w:spacing w:val="0"/>
                <w:sz w:val="21"/>
                <w:szCs w:val="21"/>
                <w:highlight w:val="none"/>
                <w:vertAlign w:val="baseline"/>
                <w:lang w:val="en-US" w:eastAsia="zh-CN" w:bidi="en-US"/>
              </w:rPr>
              <w:t>统计性平台</w:t>
            </w:r>
          </w:p>
        </w:tc>
        <w:tc>
          <w:tcPr>
            <w:tcW w:w="4710" w:type="dxa"/>
            <w:shd w:val="clear" w:color="auto" w:fill="auto"/>
            <w:vAlign w:val="center"/>
          </w:tcPr>
          <w:p w14:paraId="33D05E6A">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default" w:ascii="Times New Roman" w:hAnsi="Times New Roman" w:eastAsia="宋体" w:cs="Times New Roman"/>
                <w:b w:val="0"/>
                <w:bCs/>
                <w:color w:val="auto"/>
                <w:spacing w:val="0"/>
                <w:kern w:val="2"/>
                <w:sz w:val="21"/>
                <w:szCs w:val="21"/>
                <w:highlight w:val="none"/>
                <w:vertAlign w:val="baseline"/>
                <w:lang w:val="en-US" w:eastAsia="zh-CN" w:bidi="en-US"/>
              </w:rPr>
            </w:pP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lang w:val="en-US" w:eastAsia="zh-CN"/>
              </w:rPr>
              <w:t xml:space="preserve">是     </w:t>
            </w: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lang w:val="en-US" w:eastAsia="zh-CN"/>
              </w:rPr>
              <w:t>否</w:t>
            </w:r>
          </w:p>
        </w:tc>
      </w:tr>
    </w:tbl>
    <w:p w14:paraId="601F6BC5">
      <w:pPr>
        <w:keepNext w:val="0"/>
        <w:keepLines w:val="0"/>
        <w:pageBreakBefore w:val="0"/>
        <w:widowControl w:val="0"/>
        <w:numPr>
          <w:ilvl w:val="0"/>
          <w:numId w:val="0"/>
        </w:numPr>
        <w:tabs>
          <w:tab w:val="left" w:pos="3943"/>
        </w:tabs>
        <w:kinsoku/>
        <w:wordWrap/>
        <w:overflowPunct/>
        <w:topLinePunct w:val="0"/>
        <w:autoSpaceDE/>
        <w:autoSpaceDN/>
        <w:bidi w:val="0"/>
        <w:adjustRightInd/>
        <w:snapToGrid/>
        <w:spacing w:before="146" w:beforeLines="50" w:after="146" w:afterLines="50" w:line="360" w:lineRule="auto"/>
        <w:jc w:val="left"/>
        <w:textAlignment w:val="auto"/>
        <w:rPr>
          <w:rFonts w:hint="default" w:ascii="Times New Roman" w:hAnsi="Times New Roman" w:eastAsia="宋体" w:cs="Times New Roman"/>
          <w:b/>
          <w:bCs/>
          <w:kern w:val="2"/>
          <w:sz w:val="24"/>
          <w:szCs w:val="28"/>
          <w:highlight w:val="none"/>
          <w:lang w:val="en-US" w:eastAsia="zh-CN" w:bidi="ar-SA"/>
        </w:rPr>
      </w:pPr>
      <w:r>
        <w:rPr>
          <w:rFonts w:hint="default" w:ascii="Times New Roman" w:hAnsi="Times New Roman" w:eastAsia="宋体" w:cs="Times New Roman"/>
          <w:b/>
          <w:bCs/>
          <w:kern w:val="2"/>
          <w:sz w:val="24"/>
          <w:szCs w:val="28"/>
          <w:highlight w:val="none"/>
          <w:lang w:val="en-US" w:eastAsia="zh-CN" w:bidi="ar-SA"/>
        </w:rPr>
        <w:t>2、试点项目施工计量详表</w:t>
      </w:r>
    </w:p>
    <w:tbl>
      <w:tblPr>
        <w:tblStyle w:val="5"/>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59"/>
        <w:gridCol w:w="4080"/>
        <w:gridCol w:w="2223"/>
        <w:gridCol w:w="1992"/>
      </w:tblGrid>
      <w:tr w14:paraId="186D0A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6" w:hRule="atLeast"/>
          <w:jc w:val="center"/>
        </w:trPr>
        <w:tc>
          <w:tcPr>
            <w:tcW w:w="5000" w:type="pct"/>
            <w:gridSpan w:val="4"/>
            <w:vAlign w:val="center"/>
          </w:tcPr>
          <w:p w14:paraId="5F4D64E8">
            <w:pPr>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b/>
                <w:color w:val="auto"/>
                <w:spacing w:val="23"/>
                <w:sz w:val="21"/>
                <w:szCs w:val="21"/>
                <w:highlight w:val="none"/>
                <w:vertAlign w:val="baseline"/>
                <w:lang w:val="en-US" w:eastAsia="zh-CN" w:bidi="en-US"/>
              </w:rPr>
              <w:t>计量详表</w:t>
            </w:r>
          </w:p>
        </w:tc>
      </w:tr>
      <w:tr w14:paraId="35FFA4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2861" w:type="pct"/>
            <w:gridSpan w:val="2"/>
            <w:vAlign w:val="center"/>
          </w:tcPr>
          <w:p w14:paraId="25C6C0E9">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default" w:ascii="Times New Roman" w:hAnsi="Times New Roman" w:eastAsia="宋体" w:cs="Times New Roman"/>
                <w:b w:val="0"/>
                <w:bCs/>
                <w:color w:val="auto"/>
                <w:spacing w:val="0"/>
                <w:sz w:val="21"/>
                <w:szCs w:val="21"/>
                <w:highlight w:val="none"/>
                <w:vertAlign w:val="baseline"/>
                <w:lang w:val="en-US" w:eastAsia="zh-CN" w:bidi="en-US"/>
              </w:rPr>
            </w:pPr>
            <w:r>
              <w:rPr>
                <w:rFonts w:hint="default" w:ascii="Times New Roman" w:hAnsi="Times New Roman" w:eastAsia="宋体" w:cs="Times New Roman"/>
                <w:b w:val="0"/>
                <w:bCs/>
                <w:color w:val="auto"/>
                <w:spacing w:val="0"/>
                <w:sz w:val="21"/>
                <w:szCs w:val="21"/>
                <w:highlight w:val="none"/>
                <w:vertAlign w:val="baseline"/>
                <w:lang w:val="en-US" w:eastAsia="zh-CN" w:bidi="en-US"/>
              </w:rPr>
              <w:t>计量或获取项目类别（勾选）</w:t>
            </w:r>
          </w:p>
        </w:tc>
        <w:tc>
          <w:tcPr>
            <w:tcW w:w="1128" w:type="pct"/>
            <w:vAlign w:val="center"/>
          </w:tcPr>
          <w:p w14:paraId="03B380F8">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default" w:ascii="Times New Roman" w:hAnsi="Times New Roman" w:eastAsia="宋体" w:cs="Times New Roman"/>
                <w:b w:val="0"/>
                <w:bCs/>
                <w:color w:val="auto"/>
                <w:spacing w:val="0"/>
                <w:sz w:val="21"/>
                <w:szCs w:val="21"/>
                <w:highlight w:val="none"/>
                <w:vertAlign w:val="baseline"/>
                <w:lang w:val="en-US" w:eastAsia="zh-CN" w:bidi="en-US"/>
              </w:rPr>
            </w:pPr>
            <w:r>
              <w:rPr>
                <w:rFonts w:hint="default" w:ascii="Times New Roman" w:hAnsi="Times New Roman" w:eastAsia="宋体" w:cs="Times New Roman"/>
                <w:b w:val="0"/>
                <w:bCs/>
                <w:color w:val="auto"/>
                <w:spacing w:val="0"/>
                <w:sz w:val="21"/>
                <w:szCs w:val="21"/>
                <w:highlight w:val="none"/>
                <w:vertAlign w:val="baseline"/>
                <w:lang w:val="en-US" w:eastAsia="zh-CN" w:bidi="en-US"/>
              </w:rPr>
              <w:t>数据采集方式</w:t>
            </w:r>
          </w:p>
          <w:p w14:paraId="3A4F832C">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default" w:ascii="Times New Roman" w:hAnsi="Times New Roman" w:eastAsia="宋体" w:cs="Times New Roman"/>
                <w:b w:val="0"/>
                <w:bCs/>
                <w:color w:val="auto"/>
                <w:spacing w:val="0"/>
                <w:sz w:val="21"/>
                <w:szCs w:val="21"/>
                <w:highlight w:val="none"/>
                <w:vertAlign w:val="baseline"/>
                <w:lang w:val="en-US" w:eastAsia="zh-CN" w:bidi="en-US"/>
              </w:rPr>
            </w:pPr>
            <w:r>
              <w:rPr>
                <w:rFonts w:hint="default" w:ascii="Times New Roman" w:hAnsi="Times New Roman" w:eastAsia="宋体" w:cs="Times New Roman"/>
                <w:b w:val="0"/>
                <w:bCs/>
                <w:color w:val="auto"/>
                <w:spacing w:val="0"/>
                <w:sz w:val="21"/>
                <w:szCs w:val="21"/>
                <w:highlight w:val="none"/>
                <w:vertAlign w:val="baseline"/>
                <w:lang w:val="en-US" w:eastAsia="zh-CN" w:bidi="en-US"/>
              </w:rPr>
              <w:t>（人工采集/自动采集）</w:t>
            </w:r>
          </w:p>
        </w:tc>
        <w:tc>
          <w:tcPr>
            <w:tcW w:w="1009" w:type="pct"/>
            <w:vAlign w:val="center"/>
          </w:tcPr>
          <w:p w14:paraId="21A66ABA">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default" w:ascii="Times New Roman" w:hAnsi="Times New Roman" w:eastAsia="宋体" w:cs="Times New Roman"/>
                <w:b w:val="0"/>
                <w:bCs/>
                <w:color w:val="auto"/>
                <w:spacing w:val="0"/>
                <w:sz w:val="21"/>
                <w:szCs w:val="21"/>
                <w:highlight w:val="none"/>
                <w:vertAlign w:val="baseline"/>
                <w:lang w:val="en-US" w:eastAsia="zh-CN" w:bidi="en-US"/>
              </w:rPr>
            </w:pPr>
            <w:r>
              <w:rPr>
                <w:rFonts w:hint="default" w:ascii="Times New Roman" w:hAnsi="Times New Roman" w:eastAsia="宋体" w:cs="Times New Roman"/>
                <w:b w:val="0"/>
                <w:bCs/>
                <w:color w:val="auto"/>
                <w:spacing w:val="0"/>
                <w:sz w:val="21"/>
                <w:szCs w:val="21"/>
                <w:highlight w:val="none"/>
                <w:vertAlign w:val="baseline"/>
                <w:lang w:val="en-US" w:eastAsia="zh-CN" w:bidi="en-US"/>
              </w:rPr>
              <w:t>数据采集频率</w:t>
            </w:r>
          </w:p>
          <w:p w14:paraId="47E72164">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default" w:ascii="Times New Roman" w:hAnsi="Times New Roman" w:eastAsia="宋体" w:cs="Times New Roman"/>
                <w:b w:val="0"/>
                <w:bCs/>
                <w:color w:val="auto"/>
                <w:spacing w:val="0"/>
                <w:sz w:val="21"/>
                <w:szCs w:val="21"/>
                <w:highlight w:val="none"/>
                <w:vertAlign w:val="baseline"/>
                <w:lang w:val="en-US" w:eastAsia="zh-CN" w:bidi="en-US"/>
              </w:rPr>
            </w:pPr>
            <w:r>
              <w:rPr>
                <w:rFonts w:hint="default" w:ascii="Times New Roman" w:hAnsi="Times New Roman" w:eastAsia="宋体" w:cs="Times New Roman"/>
                <w:b w:val="0"/>
                <w:bCs/>
                <w:color w:val="auto"/>
                <w:spacing w:val="0"/>
                <w:sz w:val="21"/>
                <w:szCs w:val="21"/>
                <w:highlight w:val="none"/>
                <w:vertAlign w:val="baseline"/>
                <w:lang w:val="en-US" w:eastAsia="zh-CN" w:bidi="en-US"/>
              </w:rPr>
              <w:t>（例如：1h一次/每月统计一次等）</w:t>
            </w:r>
          </w:p>
        </w:tc>
      </w:tr>
      <w:tr w14:paraId="79AE7B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791" w:type="pct"/>
            <w:vAlign w:val="center"/>
          </w:tcPr>
          <w:p w14:paraId="09EB96DF">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default" w:ascii="Times New Roman" w:hAnsi="Times New Roman" w:eastAsia="宋体" w:cs="Times New Roman"/>
                <w:b w:val="0"/>
                <w:bCs/>
                <w:color w:val="auto"/>
                <w:spacing w:val="0"/>
                <w:sz w:val="21"/>
                <w:szCs w:val="21"/>
                <w:highlight w:val="none"/>
                <w:vertAlign w:val="baseline"/>
                <w:lang w:val="en-US" w:eastAsia="zh-CN" w:bidi="en-US"/>
              </w:rPr>
            </w:pP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b w:val="0"/>
                <w:bCs/>
                <w:color w:val="auto"/>
                <w:spacing w:val="0"/>
                <w:kern w:val="2"/>
                <w:sz w:val="21"/>
                <w:szCs w:val="21"/>
                <w:highlight w:val="none"/>
                <w:vertAlign w:val="baseline"/>
                <w:lang w:val="en-US" w:eastAsia="zh-CN" w:bidi="en-US"/>
              </w:rPr>
              <w:t>分类计量</w:t>
            </w:r>
          </w:p>
        </w:tc>
        <w:tc>
          <w:tcPr>
            <w:tcW w:w="2070" w:type="pct"/>
            <w:vAlign w:val="center"/>
          </w:tcPr>
          <w:p w14:paraId="1C2F6361">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eastAsia="zh-CN"/>
              </w:rPr>
              <w:t>☑净购入电力及分项计量电力</w:t>
            </w:r>
          </w:p>
          <w:p w14:paraId="1E7F9806">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lang w:val="en-US" w:eastAsia="zh-CN"/>
              </w:rPr>
              <w:t>用</w:t>
            </w:r>
            <w:r>
              <w:rPr>
                <w:rFonts w:hint="default" w:ascii="Times New Roman" w:hAnsi="Times New Roman" w:eastAsia="宋体" w:cs="Times New Roman"/>
                <w:color w:val="auto"/>
                <w:sz w:val="21"/>
                <w:szCs w:val="21"/>
                <w:highlight w:val="none"/>
                <w:lang w:eastAsia="zh-CN"/>
              </w:rPr>
              <w:t>热（冷）力</w:t>
            </w:r>
            <w:r>
              <w:rPr>
                <w:rFonts w:hint="default" w:ascii="Times New Roman" w:hAnsi="Times New Roman" w:eastAsia="宋体" w:cs="Times New Roman"/>
                <w:color w:val="auto"/>
                <w:sz w:val="21"/>
                <w:szCs w:val="21"/>
                <w:highlight w:val="none"/>
                <w:lang w:val="en-US" w:eastAsia="zh-CN"/>
              </w:rPr>
              <w:t xml:space="preserve">   </w:t>
            </w: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lang w:val="en-US" w:eastAsia="zh-CN"/>
              </w:rPr>
              <w:t xml:space="preserve">用水   </w:t>
            </w: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lang w:val="en-US" w:eastAsia="zh-CN"/>
              </w:rPr>
              <w:t xml:space="preserve">天然气   </w:t>
            </w:r>
          </w:p>
          <w:p w14:paraId="5D75F17F">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default" w:ascii="Times New Roman" w:hAnsi="Times New Roman" w:eastAsia="宋体" w:cs="Times New Roman"/>
                <w:b w:val="0"/>
                <w:bCs/>
                <w:color w:val="auto"/>
                <w:spacing w:val="0"/>
                <w:sz w:val="21"/>
                <w:szCs w:val="21"/>
                <w:highlight w:val="none"/>
                <w:vertAlign w:val="baseline"/>
                <w:lang w:val="en-US" w:eastAsia="zh-CN" w:bidi="en-US"/>
              </w:rPr>
            </w:pP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lang w:val="en-US" w:eastAsia="zh-CN"/>
              </w:rPr>
              <w:t xml:space="preserve">可再生能源   </w:t>
            </w: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lang w:val="en-US" w:eastAsia="zh-CN"/>
              </w:rPr>
              <w:t xml:space="preserve">固体燃料   </w:t>
            </w: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lang w:val="en-US" w:eastAsia="zh-CN"/>
              </w:rPr>
              <w:t xml:space="preserve">柴油   </w:t>
            </w: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lang w:val="en-US" w:eastAsia="zh-CN"/>
              </w:rPr>
              <w:t xml:space="preserve">汽油   </w:t>
            </w: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lang w:val="en-US" w:eastAsia="zh-CN"/>
              </w:rPr>
              <w:t>过程排放</w:t>
            </w:r>
            <w:r>
              <w:rPr>
                <w:rFonts w:hint="default" w:ascii="Times New Roman" w:hAnsi="Times New Roman" w:eastAsia="宋体" w:cs="Times New Roman"/>
                <w:color w:val="auto"/>
                <w:sz w:val="21"/>
                <w:szCs w:val="21"/>
                <w:highlight w:val="none"/>
                <w:lang w:eastAsia="zh-CN"/>
              </w:rPr>
              <w:t>（例：现场搅拌的混凝土和砂浆、现场制作的构件和部品）</w:t>
            </w:r>
          </w:p>
        </w:tc>
        <w:tc>
          <w:tcPr>
            <w:tcW w:w="1128" w:type="pct"/>
            <w:vAlign w:val="center"/>
          </w:tcPr>
          <w:p w14:paraId="582D6601">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default" w:ascii="Times New Roman" w:hAnsi="Times New Roman" w:eastAsia="宋体" w:cs="Times New Roman"/>
                <w:b w:val="0"/>
                <w:bCs/>
                <w:color w:val="auto"/>
                <w:spacing w:val="0"/>
                <w:sz w:val="21"/>
                <w:szCs w:val="21"/>
                <w:highlight w:val="none"/>
                <w:vertAlign w:val="baseline"/>
                <w:lang w:val="en-US" w:eastAsia="zh-CN" w:bidi="en-US"/>
              </w:rPr>
            </w:pPr>
            <w:r>
              <w:rPr>
                <w:rFonts w:hint="default" w:ascii="Times New Roman" w:hAnsi="Times New Roman" w:eastAsia="宋体" w:cs="Times New Roman"/>
                <w:b w:val="0"/>
                <w:bCs/>
                <w:color w:val="auto"/>
                <w:spacing w:val="0"/>
                <w:sz w:val="21"/>
                <w:szCs w:val="21"/>
                <w:highlight w:val="none"/>
                <w:vertAlign w:val="baseline"/>
                <w:lang w:val="en-US" w:eastAsia="zh-CN" w:bidi="en-US"/>
              </w:rPr>
              <w:t>人工采集（发票核对）+自动采集（智能表具上传）</w:t>
            </w:r>
          </w:p>
        </w:tc>
        <w:tc>
          <w:tcPr>
            <w:tcW w:w="1009" w:type="pct"/>
            <w:vAlign w:val="center"/>
          </w:tcPr>
          <w:p w14:paraId="557D8D78">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default" w:ascii="Times New Roman" w:hAnsi="Times New Roman" w:eastAsia="宋体" w:cs="Times New Roman"/>
                <w:b w:val="0"/>
                <w:bCs/>
                <w:color w:val="auto"/>
                <w:spacing w:val="0"/>
                <w:sz w:val="21"/>
                <w:szCs w:val="21"/>
                <w:highlight w:val="none"/>
                <w:vertAlign w:val="baseline"/>
                <w:lang w:val="en-US" w:eastAsia="zh-CN" w:bidi="en-US"/>
              </w:rPr>
            </w:pPr>
            <w:r>
              <w:rPr>
                <w:rFonts w:hint="default" w:ascii="Times New Roman" w:hAnsi="Times New Roman" w:eastAsia="宋体" w:cs="Times New Roman"/>
                <w:b w:val="0"/>
                <w:bCs/>
                <w:color w:val="auto"/>
                <w:spacing w:val="0"/>
                <w:kern w:val="2"/>
                <w:sz w:val="21"/>
                <w:szCs w:val="21"/>
                <w:highlight w:val="none"/>
                <w:vertAlign w:val="baseline"/>
                <w:lang w:val="en-US" w:eastAsia="zh-CN" w:bidi="en-US"/>
              </w:rPr>
              <w:t>人工采集及统计报表每月统计一次，</w:t>
            </w:r>
            <w:r>
              <w:rPr>
                <w:rFonts w:hint="default" w:ascii="Times New Roman" w:hAnsi="Times New Roman" w:eastAsia="宋体" w:cs="Times New Roman"/>
                <w:b w:val="0"/>
                <w:bCs/>
                <w:color w:val="auto"/>
                <w:spacing w:val="0"/>
                <w:sz w:val="21"/>
                <w:szCs w:val="21"/>
                <w:highlight w:val="none"/>
                <w:vertAlign w:val="baseline"/>
                <w:lang w:val="en-US" w:eastAsia="zh-CN" w:bidi="en-US"/>
              </w:rPr>
              <w:t>智能表具每</w:t>
            </w:r>
            <w:r>
              <w:rPr>
                <w:rFonts w:hint="default" w:ascii="Times New Roman" w:hAnsi="Times New Roman" w:eastAsia="宋体" w:cs="Times New Roman"/>
                <w:b w:val="0"/>
                <w:bCs/>
                <w:color w:val="auto"/>
                <w:spacing w:val="0"/>
                <w:kern w:val="2"/>
                <w:sz w:val="21"/>
                <w:szCs w:val="21"/>
                <w:highlight w:val="none"/>
                <w:vertAlign w:val="baseline"/>
                <w:lang w:val="en-US" w:eastAsia="zh-CN" w:bidi="en-US"/>
              </w:rPr>
              <w:t>15min自动统计一次并上传智慧工地平台</w:t>
            </w:r>
          </w:p>
        </w:tc>
      </w:tr>
      <w:tr w14:paraId="7FCF5D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791" w:type="pct"/>
            <w:vAlign w:val="center"/>
          </w:tcPr>
          <w:p w14:paraId="661AA4ED">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b w:val="0"/>
                <w:bCs/>
                <w:color w:val="auto"/>
                <w:spacing w:val="0"/>
                <w:kern w:val="2"/>
                <w:sz w:val="21"/>
                <w:szCs w:val="21"/>
                <w:highlight w:val="none"/>
                <w:vertAlign w:val="baseline"/>
                <w:lang w:val="en-US" w:eastAsia="zh-CN" w:bidi="en-US"/>
              </w:rPr>
              <w:t>分区计量</w:t>
            </w:r>
          </w:p>
        </w:tc>
        <w:tc>
          <w:tcPr>
            <w:tcW w:w="2070" w:type="pct"/>
            <w:vAlign w:val="center"/>
          </w:tcPr>
          <w:p w14:paraId="02B0C6DF">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eastAsia="zh-CN"/>
              </w:rPr>
              <w:t>☑施工区</w:t>
            </w:r>
            <w:r>
              <w:rPr>
                <w:rFonts w:hint="default" w:ascii="Times New Roman" w:hAnsi="Times New Roman" w:eastAsia="宋体" w:cs="Times New Roman"/>
                <w:color w:val="auto"/>
                <w:sz w:val="21"/>
                <w:szCs w:val="21"/>
                <w:highlight w:val="none"/>
                <w:lang w:val="en-US" w:eastAsia="zh-CN"/>
              </w:rPr>
              <w:t xml:space="preserve">   </w:t>
            </w:r>
            <w:r>
              <w:rPr>
                <w:rFonts w:hint="default" w:ascii="Times New Roman" w:hAnsi="Times New Roman" w:eastAsia="宋体" w:cs="Times New Roman"/>
                <w:color w:val="auto"/>
                <w:sz w:val="21"/>
                <w:szCs w:val="21"/>
                <w:highlight w:val="none"/>
                <w:lang w:eastAsia="zh-CN"/>
              </w:rPr>
              <w:t>☑办公区</w:t>
            </w:r>
            <w:r>
              <w:rPr>
                <w:rFonts w:hint="default" w:ascii="Times New Roman" w:hAnsi="Times New Roman" w:eastAsia="宋体" w:cs="Times New Roman"/>
                <w:color w:val="auto"/>
                <w:sz w:val="21"/>
                <w:szCs w:val="21"/>
                <w:highlight w:val="none"/>
                <w:lang w:val="en-US" w:eastAsia="zh-CN"/>
              </w:rPr>
              <w:t xml:space="preserve">   </w:t>
            </w:r>
            <w:r>
              <w:rPr>
                <w:rFonts w:hint="default" w:ascii="Times New Roman" w:hAnsi="Times New Roman" w:eastAsia="宋体" w:cs="Times New Roman"/>
                <w:color w:val="auto"/>
                <w:sz w:val="21"/>
                <w:szCs w:val="21"/>
                <w:highlight w:val="none"/>
                <w:lang w:eastAsia="zh-CN"/>
              </w:rPr>
              <w:t>☑生活区</w:t>
            </w:r>
          </w:p>
        </w:tc>
        <w:tc>
          <w:tcPr>
            <w:tcW w:w="1128" w:type="pct"/>
            <w:vAlign w:val="center"/>
          </w:tcPr>
          <w:p w14:paraId="3474F6E5">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default" w:ascii="Times New Roman" w:hAnsi="Times New Roman" w:eastAsia="宋体" w:cs="Times New Roman"/>
                <w:b w:val="0"/>
                <w:bCs/>
                <w:color w:val="auto"/>
                <w:spacing w:val="0"/>
                <w:sz w:val="21"/>
                <w:szCs w:val="21"/>
                <w:highlight w:val="none"/>
                <w:vertAlign w:val="baseline"/>
                <w:lang w:val="en-US" w:eastAsia="zh-CN" w:bidi="en-US"/>
              </w:rPr>
            </w:pPr>
            <w:r>
              <w:rPr>
                <w:rFonts w:hint="default" w:ascii="Times New Roman" w:hAnsi="Times New Roman" w:eastAsia="宋体" w:cs="Times New Roman"/>
                <w:b w:val="0"/>
                <w:bCs/>
                <w:color w:val="auto"/>
                <w:spacing w:val="0"/>
                <w:sz w:val="21"/>
                <w:szCs w:val="21"/>
                <w:highlight w:val="none"/>
                <w:vertAlign w:val="baseline"/>
                <w:lang w:val="en-US" w:eastAsia="zh-CN" w:bidi="en-US"/>
              </w:rPr>
              <w:t>人工采集（发票核对）+自动采集（智能器具上传）</w:t>
            </w:r>
          </w:p>
        </w:tc>
        <w:tc>
          <w:tcPr>
            <w:tcW w:w="1009" w:type="pct"/>
            <w:vAlign w:val="center"/>
          </w:tcPr>
          <w:p w14:paraId="72801BDA">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default" w:ascii="Times New Roman" w:hAnsi="Times New Roman" w:eastAsia="宋体" w:cs="Times New Roman"/>
                <w:b w:val="0"/>
                <w:bCs/>
                <w:color w:val="auto"/>
                <w:spacing w:val="0"/>
                <w:sz w:val="21"/>
                <w:szCs w:val="21"/>
                <w:highlight w:val="none"/>
                <w:vertAlign w:val="baseline"/>
                <w:lang w:val="en-US" w:eastAsia="zh-CN" w:bidi="en-US"/>
              </w:rPr>
            </w:pPr>
            <w:r>
              <w:rPr>
                <w:rFonts w:hint="default" w:ascii="Times New Roman" w:hAnsi="Times New Roman" w:eastAsia="宋体" w:cs="Times New Roman"/>
                <w:b w:val="0"/>
                <w:bCs/>
                <w:color w:val="auto"/>
                <w:spacing w:val="0"/>
                <w:kern w:val="2"/>
                <w:sz w:val="21"/>
                <w:szCs w:val="21"/>
                <w:highlight w:val="none"/>
                <w:vertAlign w:val="baseline"/>
                <w:lang w:val="en-US" w:eastAsia="zh-CN" w:bidi="en-US"/>
              </w:rPr>
              <w:t>人工采集及统计报表每月统计一次，</w:t>
            </w:r>
            <w:r>
              <w:rPr>
                <w:rFonts w:hint="default" w:ascii="Times New Roman" w:hAnsi="Times New Roman" w:eastAsia="宋体" w:cs="Times New Roman"/>
                <w:b w:val="0"/>
                <w:bCs/>
                <w:color w:val="auto"/>
                <w:spacing w:val="0"/>
                <w:sz w:val="21"/>
                <w:szCs w:val="21"/>
                <w:highlight w:val="none"/>
                <w:vertAlign w:val="baseline"/>
                <w:lang w:val="en-US" w:eastAsia="zh-CN" w:bidi="en-US"/>
              </w:rPr>
              <w:t>智能表具每</w:t>
            </w:r>
            <w:r>
              <w:rPr>
                <w:rFonts w:hint="default" w:ascii="Times New Roman" w:hAnsi="Times New Roman" w:eastAsia="宋体" w:cs="Times New Roman"/>
                <w:b w:val="0"/>
                <w:bCs/>
                <w:color w:val="auto"/>
                <w:spacing w:val="0"/>
                <w:kern w:val="2"/>
                <w:sz w:val="21"/>
                <w:szCs w:val="21"/>
                <w:highlight w:val="none"/>
                <w:vertAlign w:val="baseline"/>
                <w:lang w:val="en-US" w:eastAsia="zh-CN" w:bidi="en-US"/>
              </w:rPr>
              <w:t>15min自动统计一次并上传智慧工地平台</w:t>
            </w:r>
          </w:p>
        </w:tc>
      </w:tr>
      <w:tr w14:paraId="14452B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791" w:type="pct"/>
            <w:vAlign w:val="center"/>
          </w:tcPr>
          <w:p w14:paraId="6FBF0BD3">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eastAsia="zh-CN"/>
              </w:rPr>
              <w:t>☑重点排放设备</w:t>
            </w:r>
          </w:p>
        </w:tc>
        <w:tc>
          <w:tcPr>
            <w:tcW w:w="2070" w:type="pct"/>
            <w:vAlign w:val="center"/>
          </w:tcPr>
          <w:p w14:paraId="64EC81E5">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eastAsia="zh-CN"/>
              </w:rPr>
              <w:t>☑挖掘机</w:t>
            </w:r>
          </w:p>
          <w:p w14:paraId="265789D9">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eastAsia="zh-CN"/>
              </w:rPr>
              <w:t>☑塔式起重机</w:t>
            </w:r>
          </w:p>
          <w:p w14:paraId="3D12BC58">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eastAsia="zh-CN"/>
              </w:rPr>
              <w:t>☑施工电梯/升降机</w:t>
            </w:r>
          </w:p>
          <w:p w14:paraId="7F1198CA">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eastAsia="zh-CN"/>
              </w:rPr>
              <w:t>☑混凝土泵车</w:t>
            </w:r>
          </w:p>
          <w:p w14:paraId="0EC7F928">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eastAsia="zh-CN"/>
              </w:rPr>
              <w:t>☑混凝土搅拌站/机</w:t>
            </w:r>
          </w:p>
          <w:p w14:paraId="48C85001">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eastAsia="zh-CN"/>
              </w:rPr>
              <w:t>☑钢筋加工设备</w:t>
            </w:r>
          </w:p>
          <w:p w14:paraId="2514006A">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eastAsia="zh-CN"/>
              </w:rPr>
              <w:t>（弯曲机、切断机等）</w:t>
            </w:r>
          </w:p>
          <w:p w14:paraId="77F1DDED">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eastAsia="zh-CN"/>
              </w:rPr>
              <w:t>☑空压机</w:t>
            </w:r>
          </w:p>
          <w:p w14:paraId="2232C07A">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eastAsia="zh-CN"/>
              </w:rPr>
              <w:t>☑电焊机</w:t>
            </w:r>
          </w:p>
          <w:p w14:paraId="24A405C0">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eastAsia="zh-CN"/>
              </w:rPr>
              <w:t>☑现场大型照明灯</w:t>
            </w:r>
          </w:p>
          <w:p w14:paraId="78BD0A9A">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eastAsia="zh-CN"/>
              </w:rPr>
              <w:t>□柴油发电机</w:t>
            </w:r>
          </w:p>
        </w:tc>
        <w:tc>
          <w:tcPr>
            <w:tcW w:w="1128" w:type="pct"/>
            <w:vAlign w:val="center"/>
          </w:tcPr>
          <w:p w14:paraId="0F5485F1">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default" w:ascii="Times New Roman" w:hAnsi="Times New Roman" w:eastAsia="宋体" w:cs="Times New Roman"/>
                <w:b w:val="0"/>
                <w:bCs/>
                <w:color w:val="auto"/>
                <w:spacing w:val="0"/>
                <w:sz w:val="21"/>
                <w:szCs w:val="21"/>
                <w:highlight w:val="none"/>
                <w:vertAlign w:val="baseline"/>
                <w:lang w:val="en-US" w:eastAsia="zh-CN" w:bidi="en-US"/>
              </w:rPr>
            </w:pPr>
            <w:r>
              <w:rPr>
                <w:rFonts w:hint="default" w:ascii="Times New Roman" w:hAnsi="Times New Roman" w:eastAsia="宋体" w:cs="Times New Roman"/>
                <w:b w:val="0"/>
                <w:bCs/>
                <w:color w:val="auto"/>
                <w:spacing w:val="0"/>
                <w:sz w:val="21"/>
                <w:szCs w:val="21"/>
                <w:highlight w:val="none"/>
                <w:vertAlign w:val="baseline"/>
                <w:lang w:val="en-US" w:eastAsia="zh-CN" w:bidi="en-US"/>
              </w:rPr>
              <w:t>自动采集（分路电表、流量计）</w:t>
            </w:r>
          </w:p>
        </w:tc>
        <w:tc>
          <w:tcPr>
            <w:tcW w:w="1009" w:type="pct"/>
            <w:vAlign w:val="center"/>
          </w:tcPr>
          <w:p w14:paraId="52487215">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default" w:ascii="Times New Roman" w:hAnsi="Times New Roman" w:eastAsia="宋体" w:cs="Times New Roman"/>
                <w:b w:val="0"/>
                <w:bCs/>
                <w:color w:val="auto"/>
                <w:spacing w:val="0"/>
                <w:kern w:val="2"/>
                <w:sz w:val="21"/>
                <w:szCs w:val="21"/>
                <w:highlight w:val="none"/>
                <w:vertAlign w:val="baseline"/>
                <w:lang w:val="en-US" w:eastAsia="zh-CN" w:bidi="en-US"/>
              </w:rPr>
            </w:pPr>
            <w:r>
              <w:rPr>
                <w:rFonts w:hint="default" w:ascii="Times New Roman" w:hAnsi="Times New Roman" w:eastAsia="宋体" w:cs="Times New Roman"/>
                <w:b w:val="0"/>
                <w:bCs/>
                <w:color w:val="auto"/>
                <w:spacing w:val="0"/>
                <w:sz w:val="21"/>
                <w:szCs w:val="21"/>
                <w:highlight w:val="none"/>
                <w:vertAlign w:val="baseline"/>
                <w:lang w:val="en-US" w:eastAsia="zh-CN" w:bidi="en-US"/>
              </w:rPr>
              <w:t>智能表具每</w:t>
            </w:r>
            <w:r>
              <w:rPr>
                <w:rFonts w:hint="default" w:ascii="Times New Roman" w:hAnsi="Times New Roman" w:eastAsia="宋体" w:cs="Times New Roman"/>
                <w:b w:val="0"/>
                <w:bCs/>
                <w:color w:val="auto"/>
                <w:spacing w:val="0"/>
                <w:kern w:val="2"/>
                <w:sz w:val="21"/>
                <w:szCs w:val="21"/>
                <w:highlight w:val="none"/>
                <w:vertAlign w:val="baseline"/>
                <w:lang w:val="en-US" w:eastAsia="zh-CN" w:bidi="en-US"/>
              </w:rPr>
              <w:t>15min自动统计一次并上传智慧工地平台</w:t>
            </w:r>
          </w:p>
        </w:tc>
      </w:tr>
      <w:tr w14:paraId="74D134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791" w:type="pct"/>
            <w:vAlign w:val="center"/>
          </w:tcPr>
          <w:p w14:paraId="25808280">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default" w:ascii="Times New Roman" w:hAnsi="Times New Roman" w:eastAsia="宋体" w:cs="Times New Roman"/>
                <w:b w:val="0"/>
                <w:bCs/>
                <w:color w:val="auto"/>
                <w:spacing w:val="0"/>
                <w:sz w:val="21"/>
                <w:szCs w:val="21"/>
                <w:highlight w:val="none"/>
                <w:vertAlign w:val="baseline"/>
                <w:lang w:val="en-US" w:eastAsia="zh-CN" w:bidi="en-US"/>
              </w:rPr>
            </w:pP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lang w:val="en-US" w:eastAsia="zh-CN"/>
              </w:rPr>
              <w:t>计量器具</w:t>
            </w:r>
          </w:p>
        </w:tc>
        <w:tc>
          <w:tcPr>
            <w:tcW w:w="2070" w:type="pct"/>
            <w:shd w:val="clear" w:color="auto" w:fill="auto"/>
            <w:vAlign w:val="center"/>
          </w:tcPr>
          <w:p w14:paraId="71C7663B">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lang w:val="en-US" w:eastAsia="zh-CN"/>
              </w:rPr>
              <w:t xml:space="preserve">计量器具安装位置、功能与编号列表  </w:t>
            </w:r>
          </w:p>
          <w:p w14:paraId="2D576CE8">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lang w:val="en-US" w:eastAsia="zh-CN"/>
              </w:rPr>
              <w:t xml:space="preserve">器具准确度等级   </w:t>
            </w: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lang w:val="en-US" w:eastAsia="zh-CN"/>
              </w:rPr>
              <w:t>检定/校准证书编号</w:t>
            </w:r>
          </w:p>
          <w:p w14:paraId="36255B04">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lang w:val="en-US" w:eastAsia="zh-CN"/>
              </w:rPr>
              <w:t xml:space="preserve">检定/校准日期   </w:t>
            </w: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lang w:val="en-US" w:eastAsia="zh-CN"/>
              </w:rPr>
              <w:t>计量器具更换记录</w:t>
            </w:r>
          </w:p>
          <w:p w14:paraId="5AD0A5D4">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lang w:val="en-US" w:eastAsia="zh-CN"/>
              </w:rPr>
              <w:t>其它：_______________________</w:t>
            </w:r>
          </w:p>
        </w:tc>
        <w:tc>
          <w:tcPr>
            <w:tcW w:w="1128" w:type="pct"/>
            <w:vAlign w:val="center"/>
          </w:tcPr>
          <w:p w14:paraId="2FC4306C">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default" w:ascii="Times New Roman" w:hAnsi="Times New Roman" w:eastAsia="宋体" w:cs="Times New Roman"/>
                <w:b w:val="0"/>
                <w:bCs/>
                <w:color w:val="auto"/>
                <w:spacing w:val="0"/>
                <w:sz w:val="21"/>
                <w:szCs w:val="21"/>
                <w:highlight w:val="none"/>
                <w:vertAlign w:val="baseline"/>
                <w:lang w:val="en-US" w:eastAsia="zh-CN" w:bidi="en-US"/>
              </w:rPr>
            </w:pPr>
            <w:r>
              <w:rPr>
                <w:rFonts w:hint="default" w:ascii="Times New Roman" w:hAnsi="Times New Roman" w:eastAsia="宋体" w:cs="Times New Roman"/>
                <w:b w:val="0"/>
                <w:bCs/>
                <w:color w:val="auto"/>
                <w:spacing w:val="0"/>
                <w:sz w:val="21"/>
                <w:szCs w:val="21"/>
                <w:highlight w:val="none"/>
                <w:vertAlign w:val="baseline"/>
                <w:lang w:val="en-US" w:eastAsia="zh-CN" w:bidi="en-US"/>
              </w:rPr>
              <w:t>人工采集（台账登记）</w:t>
            </w:r>
          </w:p>
        </w:tc>
        <w:tc>
          <w:tcPr>
            <w:tcW w:w="1009" w:type="pct"/>
            <w:vAlign w:val="center"/>
          </w:tcPr>
          <w:p w14:paraId="52B123ED">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default" w:ascii="Times New Roman" w:hAnsi="Times New Roman" w:eastAsia="宋体" w:cs="Times New Roman"/>
                <w:b w:val="0"/>
                <w:bCs/>
                <w:color w:val="auto"/>
                <w:spacing w:val="0"/>
                <w:sz w:val="21"/>
                <w:szCs w:val="21"/>
                <w:highlight w:val="none"/>
                <w:vertAlign w:val="baseline"/>
                <w:lang w:val="en-US" w:eastAsia="zh-CN" w:bidi="en-US"/>
              </w:rPr>
            </w:pPr>
            <w:r>
              <w:rPr>
                <w:rFonts w:hint="default" w:ascii="Times New Roman" w:hAnsi="Times New Roman" w:eastAsia="宋体" w:cs="Times New Roman"/>
                <w:b w:val="0"/>
                <w:bCs/>
                <w:color w:val="auto"/>
                <w:spacing w:val="0"/>
                <w:sz w:val="21"/>
                <w:szCs w:val="21"/>
                <w:highlight w:val="none"/>
                <w:vertAlign w:val="baseline"/>
                <w:lang w:val="en-US" w:eastAsia="zh-CN" w:bidi="en-US"/>
              </w:rPr>
              <w:t>器具更换时实时更新，其余信息每季度核对一次</w:t>
            </w:r>
          </w:p>
        </w:tc>
      </w:tr>
    </w:tbl>
    <w:p w14:paraId="2B4DE97E">
      <w:pPr>
        <w:rPr>
          <w:rFonts w:hint="default" w:ascii="Times New Roman" w:hAnsi="Times New Roman" w:eastAsia="宋体" w:cs="Times New Roman"/>
          <w:b/>
          <w:bCs/>
          <w:kern w:val="2"/>
          <w:sz w:val="24"/>
          <w:szCs w:val="28"/>
          <w:highlight w:val="none"/>
          <w:lang w:val="en-US" w:eastAsia="zh-CN" w:bidi="ar-SA"/>
        </w:rPr>
      </w:pPr>
      <w:r>
        <w:rPr>
          <w:rFonts w:hint="default" w:ascii="Times New Roman" w:hAnsi="Times New Roman" w:eastAsia="宋体" w:cs="Times New Roman"/>
          <w:b/>
          <w:bCs/>
          <w:kern w:val="2"/>
          <w:sz w:val="24"/>
          <w:szCs w:val="28"/>
          <w:highlight w:val="none"/>
          <w:lang w:val="en-US" w:eastAsia="zh-CN" w:bidi="ar-SA"/>
        </w:rPr>
        <w:br w:type="page"/>
      </w:r>
    </w:p>
    <w:p w14:paraId="36A5A2D7">
      <w:pPr>
        <w:keepNext w:val="0"/>
        <w:keepLines w:val="0"/>
        <w:pageBreakBefore w:val="0"/>
        <w:widowControl w:val="0"/>
        <w:numPr>
          <w:ilvl w:val="0"/>
          <w:numId w:val="0"/>
        </w:numPr>
        <w:tabs>
          <w:tab w:val="left" w:pos="3943"/>
        </w:tabs>
        <w:kinsoku/>
        <w:wordWrap/>
        <w:overflowPunct/>
        <w:topLinePunct w:val="0"/>
        <w:autoSpaceDE/>
        <w:autoSpaceDN/>
        <w:bidi w:val="0"/>
        <w:adjustRightInd/>
        <w:snapToGrid/>
        <w:spacing w:line="360" w:lineRule="auto"/>
        <w:jc w:val="left"/>
        <w:textAlignment w:val="auto"/>
        <w:rPr>
          <w:rFonts w:hint="default" w:ascii="Times New Roman" w:hAnsi="Times New Roman" w:eastAsia="宋体" w:cs="Times New Roman"/>
          <w:b/>
          <w:bCs/>
          <w:kern w:val="2"/>
          <w:sz w:val="24"/>
          <w:szCs w:val="28"/>
          <w:highlight w:val="none"/>
          <w:lang w:val="en-US" w:eastAsia="zh-CN" w:bidi="ar-SA"/>
        </w:rPr>
        <w:sectPr>
          <w:footerReference r:id="rId6" w:type="first"/>
          <w:footerReference r:id="rId5" w:type="default"/>
          <w:pgSz w:w="11906" w:h="16838"/>
          <w:pgMar w:top="1134" w:right="1134" w:bottom="1440" w:left="1134" w:header="851" w:footer="567" w:gutter="0"/>
          <w:pgNumType w:fmt="decimal" w:start="1"/>
          <w:cols w:space="720" w:num="1"/>
          <w:titlePg/>
          <w:docGrid w:type="linesAndChars" w:linePitch="291" w:charSpace="-3787"/>
        </w:sectPr>
      </w:pPr>
    </w:p>
    <w:p w14:paraId="1E2BDC22">
      <w:pPr>
        <w:keepNext w:val="0"/>
        <w:keepLines w:val="0"/>
        <w:pageBreakBefore w:val="0"/>
        <w:widowControl w:val="0"/>
        <w:numPr>
          <w:ilvl w:val="0"/>
          <w:numId w:val="2"/>
        </w:numPr>
        <w:tabs>
          <w:tab w:val="left" w:pos="3943"/>
        </w:tabs>
        <w:kinsoku/>
        <w:wordWrap/>
        <w:overflowPunct/>
        <w:topLinePunct w:val="0"/>
        <w:autoSpaceDE/>
        <w:autoSpaceDN/>
        <w:bidi w:val="0"/>
        <w:adjustRightInd/>
        <w:snapToGrid/>
        <w:spacing w:line="360" w:lineRule="auto"/>
        <w:ind w:left="0" w:leftChars="0" w:firstLine="0" w:firstLineChars="0"/>
        <w:jc w:val="left"/>
        <w:textAlignment w:val="auto"/>
        <w:rPr>
          <w:rFonts w:hint="default" w:ascii="Times New Roman" w:hAnsi="Times New Roman" w:eastAsia="宋体" w:cs="Times New Roman"/>
          <w:b w:val="0"/>
          <w:bCs w:val="0"/>
          <w:kern w:val="2"/>
          <w:sz w:val="24"/>
          <w:szCs w:val="28"/>
          <w:highlight w:val="none"/>
          <w:lang w:val="en-US" w:eastAsia="zh-CN" w:bidi="ar-SA"/>
        </w:rPr>
      </w:pPr>
      <w:r>
        <w:rPr>
          <w:rFonts w:hint="default" w:ascii="Times New Roman" w:hAnsi="Times New Roman" w:eastAsia="宋体" w:cs="Times New Roman"/>
          <w:b/>
          <w:bCs/>
          <w:kern w:val="2"/>
          <w:sz w:val="24"/>
          <w:szCs w:val="28"/>
          <w:highlight w:val="none"/>
          <w:lang w:val="en-US" w:eastAsia="zh-CN" w:bidi="ar-SA"/>
        </w:rPr>
        <w:t>规范核心条款可操作性验证</w:t>
      </w:r>
    </w:p>
    <w:tbl>
      <w:tblPr>
        <w:tblStyle w:val="4"/>
        <w:tblW w:w="14174" w:type="dxa"/>
        <w:jc w:val="center"/>
        <w:tblBorders>
          <w:top w:val="none" w:color="auto" w:sz="0" w:space="0"/>
          <w:left w:val="single" w:color="auto" w:sz="2" w:space="0"/>
          <w:bottom w:val="single" w:color="auto" w:sz="2" w:space="0"/>
          <w:right w:val="single" w:color="auto" w:sz="2" w:space="0"/>
          <w:insideH w:val="none" w:color="auto" w:sz="0" w:space="0"/>
          <w:insideV w:val="none" w:color="auto" w:sz="0" w:space="0"/>
        </w:tblBorders>
        <w:shd w:val="clear" w:color="auto" w:fill="FFFFFF"/>
        <w:tblLayout w:type="fixed"/>
        <w:tblCellMar>
          <w:top w:w="80" w:type="dxa"/>
          <w:left w:w="128" w:type="dxa"/>
          <w:bottom w:w="80" w:type="dxa"/>
          <w:right w:w="128" w:type="dxa"/>
        </w:tblCellMar>
      </w:tblPr>
      <w:tblGrid>
        <w:gridCol w:w="2364"/>
        <w:gridCol w:w="4185"/>
        <w:gridCol w:w="7625"/>
      </w:tblGrid>
      <w:tr w14:paraId="5AA7761D">
        <w:tblPrEx>
          <w:tblBorders>
            <w:top w:val="none" w:color="auto" w:sz="0" w:space="0"/>
            <w:left w:val="single" w:color="auto" w:sz="2" w:space="0"/>
            <w:bottom w:val="single" w:color="auto" w:sz="2" w:space="0"/>
            <w:right w:val="single" w:color="auto" w:sz="2" w:space="0"/>
            <w:insideH w:val="none" w:color="auto" w:sz="0" w:space="0"/>
            <w:insideV w:val="none" w:color="auto" w:sz="0" w:space="0"/>
          </w:tblBorders>
          <w:tblCellMar>
            <w:top w:w="80" w:type="dxa"/>
            <w:left w:w="128" w:type="dxa"/>
            <w:bottom w:w="80" w:type="dxa"/>
            <w:right w:w="128" w:type="dxa"/>
          </w:tblCellMar>
        </w:tblPrEx>
        <w:trPr>
          <w:trHeight w:val="0" w:hRule="atLeast"/>
          <w:tblHeader/>
          <w:jc w:val="center"/>
        </w:trPr>
        <w:tc>
          <w:tcPr>
            <w:tcW w:w="2364" w:type="dxa"/>
            <w:tcBorders>
              <w:top w:val="single" w:color="000000" w:sz="4" w:space="0"/>
              <w:left w:val="single" w:color="000000" w:sz="4" w:space="0"/>
              <w:bottom w:val="single" w:color="000000" w:sz="4" w:space="0"/>
              <w:right w:val="single" w:color="000000" w:sz="4" w:space="0"/>
              <w:tl2br w:val="nil"/>
            </w:tcBorders>
            <w:shd w:val="clear" w:color="auto" w:fill="FFFFFF"/>
            <w:vAlign w:val="center"/>
          </w:tcPr>
          <w:p w14:paraId="10843A54">
            <w:pPr>
              <w:keepNext w:val="0"/>
              <w:keepLines w:val="0"/>
              <w:widowControl/>
              <w:suppressLineNumbers w:val="0"/>
              <w:snapToGrid w:val="0"/>
              <w:spacing w:before="0" w:beforeAutospacing="0" w:after="0" w:afterAutospacing="0" w:line="420" w:lineRule="atLeast"/>
              <w:ind w:left="0" w:right="0" w:firstLine="0"/>
              <w:jc w:val="center"/>
              <w:rPr>
                <w:rFonts w:hint="default" w:ascii="Times New Roman" w:hAnsi="Times New Roman" w:eastAsia="Segoe UI" w:cs="Times New Roman"/>
                <w:b/>
                <w:bCs/>
                <w:i w:val="0"/>
                <w:iCs w:val="0"/>
                <w:caps w:val="0"/>
                <w:color w:val="000000"/>
                <w:spacing w:val="0"/>
                <w:sz w:val="24"/>
                <w:szCs w:val="24"/>
                <w:highlight w:val="none"/>
              </w:rPr>
            </w:pPr>
            <w:r>
              <w:rPr>
                <w:rFonts w:hint="default" w:ascii="Times New Roman" w:hAnsi="Times New Roman" w:eastAsia="Segoe UI" w:cs="Times New Roman"/>
                <w:b/>
                <w:bCs/>
                <w:i w:val="0"/>
                <w:iCs w:val="0"/>
                <w:caps w:val="0"/>
                <w:color w:val="000000"/>
                <w:spacing w:val="0"/>
                <w:kern w:val="0"/>
                <w:sz w:val="24"/>
                <w:szCs w:val="24"/>
                <w:highlight w:val="none"/>
                <w:lang w:val="en-US" w:eastAsia="zh-CN" w:bidi="ar"/>
              </w:rPr>
              <w:t>规范核心条款</w:t>
            </w:r>
          </w:p>
        </w:tc>
        <w:tc>
          <w:tcPr>
            <w:tcW w:w="41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79631A7">
            <w:pPr>
              <w:keepNext w:val="0"/>
              <w:keepLines w:val="0"/>
              <w:widowControl/>
              <w:suppressLineNumbers w:val="0"/>
              <w:snapToGrid w:val="0"/>
              <w:spacing w:before="0" w:beforeAutospacing="0" w:after="0" w:afterAutospacing="0" w:line="420" w:lineRule="atLeast"/>
              <w:ind w:left="0" w:right="0" w:firstLine="0"/>
              <w:jc w:val="center"/>
              <w:rPr>
                <w:rFonts w:hint="default" w:ascii="Times New Roman" w:hAnsi="Times New Roman" w:eastAsia="Segoe UI" w:cs="Times New Roman"/>
                <w:b/>
                <w:bCs/>
                <w:i w:val="0"/>
                <w:iCs w:val="0"/>
                <w:caps w:val="0"/>
                <w:color w:val="000000"/>
                <w:spacing w:val="0"/>
                <w:sz w:val="24"/>
                <w:szCs w:val="24"/>
                <w:highlight w:val="none"/>
              </w:rPr>
            </w:pPr>
            <w:r>
              <w:rPr>
                <w:rFonts w:hint="default" w:ascii="Times New Roman" w:hAnsi="Times New Roman" w:eastAsia="Segoe UI" w:cs="Times New Roman"/>
                <w:b/>
                <w:bCs/>
                <w:i w:val="0"/>
                <w:iCs w:val="0"/>
                <w:caps w:val="0"/>
                <w:color w:val="000000"/>
                <w:spacing w:val="0"/>
                <w:kern w:val="0"/>
                <w:sz w:val="24"/>
                <w:szCs w:val="24"/>
                <w:highlight w:val="none"/>
                <w:lang w:val="en-US" w:eastAsia="zh-CN" w:bidi="ar"/>
              </w:rPr>
              <w:t>条款要求</w:t>
            </w:r>
          </w:p>
        </w:tc>
        <w:tc>
          <w:tcPr>
            <w:tcW w:w="762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5C9BFCD">
            <w:pPr>
              <w:keepNext w:val="0"/>
              <w:keepLines w:val="0"/>
              <w:widowControl/>
              <w:suppressLineNumbers w:val="0"/>
              <w:snapToGrid w:val="0"/>
              <w:spacing w:before="0" w:beforeAutospacing="0" w:after="0" w:afterAutospacing="0" w:line="420" w:lineRule="atLeast"/>
              <w:ind w:left="0" w:right="0" w:firstLine="0"/>
              <w:jc w:val="center"/>
              <w:rPr>
                <w:rFonts w:hint="default" w:ascii="Times New Roman" w:hAnsi="Times New Roman" w:eastAsia="Segoe UI" w:cs="Times New Roman"/>
                <w:b/>
                <w:bCs/>
                <w:i w:val="0"/>
                <w:iCs w:val="0"/>
                <w:caps w:val="0"/>
                <w:color w:val="000000"/>
                <w:spacing w:val="0"/>
                <w:sz w:val="24"/>
                <w:szCs w:val="24"/>
                <w:highlight w:val="none"/>
              </w:rPr>
            </w:pPr>
            <w:r>
              <w:rPr>
                <w:rFonts w:hint="default" w:ascii="Times New Roman" w:hAnsi="Times New Roman" w:eastAsia="Segoe UI" w:cs="Times New Roman"/>
                <w:b/>
                <w:bCs/>
                <w:i w:val="0"/>
                <w:iCs w:val="0"/>
                <w:caps w:val="0"/>
                <w:color w:val="000000"/>
                <w:spacing w:val="0"/>
                <w:kern w:val="0"/>
                <w:sz w:val="24"/>
                <w:szCs w:val="24"/>
                <w:highlight w:val="none"/>
                <w:lang w:val="en-US" w:eastAsia="zh-CN" w:bidi="ar"/>
              </w:rPr>
              <w:t>试点项目对应执行动作</w:t>
            </w:r>
          </w:p>
        </w:tc>
      </w:tr>
      <w:tr w14:paraId="6531A558">
        <w:tblPrEx>
          <w:tblBorders>
            <w:top w:val="none" w:color="auto" w:sz="0" w:space="0"/>
            <w:left w:val="single" w:color="auto" w:sz="2" w:space="0"/>
            <w:bottom w:val="single" w:color="auto" w:sz="2" w:space="0"/>
            <w:right w:val="single" w:color="auto" w:sz="2" w:space="0"/>
            <w:insideH w:val="none" w:color="auto" w:sz="0" w:space="0"/>
            <w:insideV w:val="none" w:color="auto" w:sz="0" w:space="0"/>
          </w:tblBorders>
          <w:tblCellMar>
            <w:top w:w="80" w:type="dxa"/>
            <w:left w:w="128" w:type="dxa"/>
            <w:bottom w:w="80" w:type="dxa"/>
            <w:right w:w="128" w:type="dxa"/>
          </w:tblCellMar>
        </w:tblPrEx>
        <w:trPr>
          <w:trHeight w:val="0" w:hRule="atLeast"/>
          <w:jc w:val="center"/>
        </w:trPr>
        <w:tc>
          <w:tcPr>
            <w:tcW w:w="14174" w:type="dxa"/>
            <w:gridSpan w:val="3"/>
            <w:tcBorders>
              <w:top w:val="single" w:color="000000" w:sz="4" w:space="0"/>
              <w:left w:val="single" w:color="000000" w:sz="4" w:space="0"/>
              <w:bottom w:val="single" w:color="000000" w:sz="4" w:space="0"/>
              <w:right w:val="single" w:color="000000" w:sz="4" w:space="0"/>
              <w:tl2br w:val="nil"/>
            </w:tcBorders>
            <w:shd w:val="clear" w:color="auto" w:fill="FFFFFF"/>
            <w:vAlign w:val="center"/>
          </w:tcPr>
          <w:p w14:paraId="3842CF00">
            <w:pPr>
              <w:keepNext w:val="0"/>
              <w:keepLines w:val="0"/>
              <w:widowControl/>
              <w:suppressLineNumbers w:val="0"/>
              <w:snapToGrid w:val="0"/>
              <w:spacing w:before="0" w:beforeAutospacing="0" w:after="0" w:afterAutospacing="0" w:line="420" w:lineRule="atLeast"/>
              <w:ind w:left="0" w:right="0" w:firstLine="0"/>
              <w:jc w:val="both"/>
              <w:rPr>
                <w:rFonts w:hint="default" w:ascii="Times New Roman" w:hAnsi="Times New Roman" w:eastAsia="Segoe UI" w:cs="Times New Roman"/>
                <w:b w:val="0"/>
                <w:bCs/>
                <w:i w:val="0"/>
                <w:iCs w:val="0"/>
                <w:caps w:val="0"/>
                <w:color w:val="000000"/>
                <w:spacing w:val="0"/>
                <w:kern w:val="0"/>
                <w:sz w:val="24"/>
                <w:szCs w:val="24"/>
                <w:highlight w:val="none"/>
                <w:lang w:val="en-US" w:eastAsia="zh-CN" w:bidi="ar"/>
              </w:rPr>
            </w:pPr>
            <w:r>
              <w:rPr>
                <w:rFonts w:hint="default" w:ascii="Times New Roman" w:hAnsi="Times New Roman" w:eastAsia="Segoe UI" w:cs="Times New Roman"/>
                <w:b/>
                <w:bCs w:val="0"/>
                <w:i w:val="0"/>
                <w:iCs w:val="0"/>
                <w:caps w:val="0"/>
                <w:color w:val="000000"/>
                <w:spacing w:val="0"/>
                <w:kern w:val="0"/>
                <w:sz w:val="24"/>
                <w:szCs w:val="24"/>
                <w:highlight w:val="none"/>
                <w:lang w:val="en-US" w:eastAsia="zh-CN" w:bidi="ar"/>
              </w:rPr>
              <w:t>4 计量边界和范围</w:t>
            </w:r>
          </w:p>
        </w:tc>
      </w:tr>
      <w:tr w14:paraId="20F430CC">
        <w:tblPrEx>
          <w:tblBorders>
            <w:top w:val="single" w:color="auto" w:sz="6" w:space="0"/>
            <w:left w:val="single" w:color="auto" w:sz="2" w:space="0"/>
            <w:bottom w:val="single" w:color="auto" w:sz="2" w:space="0"/>
            <w:right w:val="single" w:color="auto" w:sz="2" w:space="0"/>
            <w:insideH w:val="none" w:color="auto" w:sz="0" w:space="0"/>
            <w:insideV w:val="none" w:color="auto" w:sz="0" w:space="0"/>
          </w:tblBorders>
          <w:shd w:val="clear" w:color="auto" w:fill="FFFFFF"/>
          <w:tblCellMar>
            <w:top w:w="80" w:type="dxa"/>
            <w:left w:w="128" w:type="dxa"/>
            <w:bottom w:w="80" w:type="dxa"/>
            <w:right w:w="128" w:type="dxa"/>
          </w:tblCellMar>
        </w:tblPrEx>
        <w:trPr>
          <w:trHeight w:val="0" w:hRule="atLeast"/>
          <w:jc w:val="center"/>
        </w:trPr>
        <w:tc>
          <w:tcPr>
            <w:tcW w:w="2364"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A1EA1C7">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Segoe UI" w:cs="Times New Roman"/>
                <w:b w:val="0"/>
                <w:i w:val="0"/>
                <w:iCs w:val="0"/>
                <w:caps w:val="0"/>
                <w:color w:val="000000"/>
                <w:spacing w:val="0"/>
                <w:sz w:val="24"/>
                <w:szCs w:val="24"/>
                <w:highlight w:val="none"/>
              </w:rPr>
            </w:pPr>
            <w:r>
              <w:rPr>
                <w:rFonts w:hint="default" w:ascii="Times New Roman" w:hAnsi="Times New Roman" w:eastAsia="Segoe UI" w:cs="Times New Roman"/>
                <w:b w:val="0"/>
                <w:i w:val="0"/>
                <w:iCs w:val="0"/>
                <w:caps w:val="0"/>
                <w:color w:val="000000"/>
                <w:spacing w:val="0"/>
                <w:kern w:val="0"/>
                <w:sz w:val="24"/>
                <w:szCs w:val="24"/>
                <w:highlight w:val="none"/>
                <w:lang w:val="en-US" w:eastAsia="zh-CN" w:bidi="ar"/>
              </w:rPr>
              <w:t>4.1 计量边界</w:t>
            </w:r>
          </w:p>
        </w:tc>
        <w:tc>
          <w:tcPr>
            <w:tcW w:w="41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316B718">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Segoe UI" w:cs="Times New Roman"/>
                <w:b w:val="0"/>
                <w:i w:val="0"/>
                <w:iCs w:val="0"/>
                <w:caps w:val="0"/>
                <w:color w:val="000000"/>
                <w:spacing w:val="0"/>
                <w:sz w:val="24"/>
                <w:szCs w:val="24"/>
                <w:highlight w:val="none"/>
              </w:rPr>
            </w:pPr>
            <w:r>
              <w:rPr>
                <w:rFonts w:hint="default" w:ascii="Times New Roman" w:hAnsi="Times New Roman" w:eastAsia="Segoe UI" w:cs="Times New Roman"/>
                <w:b w:val="0"/>
                <w:i w:val="0"/>
                <w:iCs w:val="0"/>
                <w:caps w:val="0"/>
                <w:color w:val="000000"/>
                <w:spacing w:val="0"/>
                <w:kern w:val="0"/>
                <w:sz w:val="24"/>
                <w:szCs w:val="24"/>
                <w:highlight w:val="none"/>
                <w:lang w:val="en-US" w:eastAsia="zh-CN" w:bidi="ar"/>
              </w:rPr>
              <w:t>建筑施工阶段碳排放的物理边界应为有关主管部门批准的建筑施工场地边界，包括施工现场</w:t>
            </w:r>
            <w:r>
              <w:rPr>
                <w:rFonts w:hint="eastAsia" w:ascii="Times New Roman" w:hAnsi="Times New Roman" w:eastAsia="Segoe UI" w:cs="Times New Roman"/>
                <w:b w:val="0"/>
                <w:i w:val="0"/>
                <w:iCs w:val="0"/>
                <w:caps w:val="0"/>
                <w:color w:val="000000"/>
                <w:spacing w:val="0"/>
                <w:kern w:val="0"/>
                <w:sz w:val="24"/>
                <w:szCs w:val="24"/>
                <w:highlight w:val="none"/>
                <w:lang w:val="en-US" w:eastAsia="zh-CN" w:bidi="ar"/>
              </w:rPr>
              <w:t>、临建</w:t>
            </w:r>
            <w:r>
              <w:rPr>
                <w:rFonts w:hint="default" w:ascii="Times New Roman" w:hAnsi="Times New Roman" w:eastAsia="Segoe UI" w:cs="Times New Roman"/>
                <w:b w:val="0"/>
                <w:i w:val="0"/>
                <w:iCs w:val="0"/>
                <w:caps w:val="0"/>
                <w:color w:val="000000"/>
                <w:spacing w:val="0"/>
                <w:kern w:val="0"/>
                <w:sz w:val="24"/>
                <w:szCs w:val="24"/>
                <w:highlight w:val="none"/>
                <w:lang w:val="en-US" w:eastAsia="zh-CN" w:bidi="ar"/>
              </w:rPr>
              <w:t>及运输，计量边界如下图。计量优先采用实测法，如无法获得实测数据可采用计算法。</w:t>
            </w:r>
          </w:p>
        </w:tc>
        <w:tc>
          <w:tcPr>
            <w:tcW w:w="762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24FCD84">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Segoe UI" w:cs="Times New Roman"/>
                <w:b w:val="0"/>
                <w:i w:val="0"/>
                <w:iCs w:val="0"/>
                <w:caps w:val="0"/>
                <w:color w:val="000000"/>
                <w:spacing w:val="0"/>
                <w:kern w:val="0"/>
                <w:sz w:val="24"/>
                <w:szCs w:val="24"/>
                <w:highlight w:val="none"/>
                <w:lang w:val="en-US" w:eastAsia="zh-CN" w:bidi="ar"/>
              </w:rPr>
            </w:pPr>
            <w:r>
              <w:rPr>
                <w:rFonts w:hint="default" w:ascii="Times New Roman" w:hAnsi="Times New Roman" w:eastAsia="Segoe UI" w:cs="Times New Roman"/>
                <w:b w:val="0"/>
                <w:i w:val="0"/>
                <w:iCs w:val="0"/>
                <w:caps w:val="0"/>
                <w:color w:val="000000"/>
                <w:spacing w:val="0"/>
                <w:kern w:val="0"/>
                <w:sz w:val="24"/>
                <w:szCs w:val="24"/>
                <w:highlight w:val="none"/>
                <w:lang w:val="en-US" w:eastAsia="zh-CN" w:bidi="ar"/>
              </w:rPr>
              <w:t>1.明确物理边界为项目施工许可批准的场地范围，涵盖施工区（主体结构、土石方作业区）、办公区（项目部会议室、资料室）、生活区（工人宿舍、食堂）及场外物料运输路线（建材从供应商到工地的运输环节）；</w:t>
            </w:r>
          </w:p>
          <w:p w14:paraId="2ED3D746">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Segoe UI" w:cs="Times New Roman"/>
                <w:b w:val="0"/>
                <w:i w:val="0"/>
                <w:iCs w:val="0"/>
                <w:caps w:val="0"/>
                <w:color w:val="000000"/>
                <w:spacing w:val="0"/>
                <w:sz w:val="24"/>
                <w:szCs w:val="24"/>
                <w:highlight w:val="none"/>
                <w:lang w:val="en-US"/>
              </w:rPr>
            </w:pPr>
            <w:r>
              <w:rPr>
                <w:rFonts w:hint="default" w:ascii="Times New Roman" w:hAnsi="Times New Roman" w:eastAsia="Segoe UI" w:cs="Times New Roman"/>
                <w:b w:val="0"/>
                <w:i w:val="0"/>
                <w:iCs w:val="0"/>
                <w:caps w:val="0"/>
                <w:color w:val="000000"/>
                <w:spacing w:val="0"/>
                <w:kern w:val="0"/>
                <w:sz w:val="24"/>
                <w:szCs w:val="24"/>
                <w:highlight w:val="none"/>
                <w:lang w:val="en-US" w:eastAsia="zh-CN" w:bidi="ar"/>
              </w:rPr>
              <w:t>2.优先采用“智能电表+涡轮流量计”实测数据，并每月人工进行计量数据采集和记录形成统计报表。</w:t>
            </w:r>
          </w:p>
        </w:tc>
      </w:tr>
      <w:tr w14:paraId="6F879C85">
        <w:tblPrEx>
          <w:tblBorders>
            <w:top w:val="single" w:color="auto" w:sz="6" w:space="0"/>
            <w:left w:val="single" w:color="auto" w:sz="2" w:space="0"/>
            <w:bottom w:val="single" w:color="auto" w:sz="2" w:space="0"/>
            <w:right w:val="single" w:color="auto" w:sz="2" w:space="0"/>
            <w:insideH w:val="none" w:color="auto" w:sz="0" w:space="0"/>
            <w:insideV w:val="none" w:color="auto" w:sz="0" w:space="0"/>
          </w:tblBorders>
          <w:tblCellMar>
            <w:top w:w="80" w:type="dxa"/>
            <w:left w:w="128" w:type="dxa"/>
            <w:bottom w:w="80" w:type="dxa"/>
            <w:right w:w="128" w:type="dxa"/>
          </w:tblCellMar>
        </w:tblPrEx>
        <w:trPr>
          <w:trHeight w:val="4025" w:hRule="atLeast"/>
          <w:jc w:val="center"/>
        </w:trPr>
        <w:tc>
          <w:tcPr>
            <w:tcW w:w="2364"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F658EA3">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Segoe UI" w:cs="Times New Roman"/>
                <w:b w:val="0"/>
                <w:i w:val="0"/>
                <w:iCs w:val="0"/>
                <w:caps w:val="0"/>
                <w:color w:val="000000"/>
                <w:spacing w:val="0"/>
                <w:kern w:val="0"/>
                <w:sz w:val="24"/>
                <w:szCs w:val="24"/>
                <w:highlight w:val="none"/>
                <w:lang w:val="en-US" w:eastAsia="zh-CN" w:bidi="ar"/>
              </w:rPr>
            </w:pPr>
            <w:r>
              <w:rPr>
                <w:rFonts w:hint="default" w:ascii="Times New Roman" w:hAnsi="Times New Roman" w:eastAsia="Segoe UI" w:cs="Times New Roman"/>
                <w:b w:val="0"/>
                <w:i w:val="0"/>
                <w:iCs w:val="0"/>
                <w:caps w:val="0"/>
                <w:color w:val="000000"/>
                <w:spacing w:val="0"/>
                <w:kern w:val="0"/>
                <w:sz w:val="24"/>
                <w:szCs w:val="24"/>
                <w:highlight w:val="none"/>
                <w:lang w:val="en-US" w:eastAsia="zh-CN" w:bidi="ar"/>
              </w:rPr>
              <w:t>4.2计量范围</w:t>
            </w:r>
          </w:p>
        </w:tc>
        <w:tc>
          <w:tcPr>
            <w:tcW w:w="41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00BE93C">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Segoe UI" w:cs="Times New Roman"/>
                <w:b w:val="0"/>
                <w:i w:val="0"/>
                <w:iCs w:val="0"/>
                <w:caps w:val="0"/>
                <w:color w:val="000000"/>
                <w:spacing w:val="0"/>
                <w:kern w:val="0"/>
                <w:sz w:val="24"/>
                <w:szCs w:val="24"/>
                <w:highlight w:val="none"/>
                <w:lang w:val="en-US" w:eastAsia="zh-CN" w:bidi="ar"/>
              </w:rPr>
            </w:pPr>
            <w:r>
              <w:rPr>
                <w:rFonts w:hint="default" w:ascii="Times New Roman" w:hAnsi="Times New Roman" w:eastAsia="Segoe UI" w:cs="Times New Roman"/>
                <w:b w:val="0"/>
                <w:i w:val="0"/>
                <w:iCs w:val="0"/>
                <w:caps w:val="0"/>
                <w:color w:val="000000"/>
                <w:spacing w:val="0"/>
                <w:kern w:val="0"/>
                <w:sz w:val="24"/>
                <w:szCs w:val="24"/>
                <w:highlight w:val="none"/>
                <w:lang w:val="en-US" w:eastAsia="zh-CN" w:bidi="ar"/>
              </w:rPr>
              <w:t>本规范的计量范围涵盖建筑施工场地边界内及为其服务的运输活动中，所有可能产生温室气体排放的源流，具体如下：</w:t>
            </w:r>
          </w:p>
          <w:p w14:paraId="6A277D07">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Segoe UI" w:cs="Times New Roman"/>
                <w:b w:val="0"/>
                <w:i w:val="0"/>
                <w:iCs w:val="0"/>
                <w:caps w:val="0"/>
                <w:color w:val="000000"/>
                <w:spacing w:val="0"/>
                <w:kern w:val="0"/>
                <w:sz w:val="24"/>
                <w:szCs w:val="24"/>
                <w:highlight w:val="none"/>
                <w:lang w:val="en-US" w:eastAsia="zh-CN" w:bidi="ar"/>
              </w:rPr>
            </w:pPr>
            <w:r>
              <w:rPr>
                <w:rFonts w:hint="default" w:ascii="Times New Roman" w:hAnsi="Times New Roman" w:eastAsia="Segoe UI" w:cs="Times New Roman"/>
                <w:b w:val="0"/>
                <w:i w:val="0"/>
                <w:iCs w:val="0"/>
                <w:caps w:val="0"/>
                <w:color w:val="000000"/>
                <w:spacing w:val="0"/>
                <w:kern w:val="0"/>
                <w:sz w:val="24"/>
                <w:szCs w:val="24"/>
                <w:highlight w:val="none"/>
                <w:lang w:val="en-US" w:eastAsia="zh-CN" w:bidi="ar"/>
              </w:rPr>
              <w:t>a）建筑施工阶段化石燃料燃烧产生的碳排放；</w:t>
            </w:r>
          </w:p>
          <w:p w14:paraId="58188644">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Segoe UI" w:cs="Times New Roman"/>
                <w:b w:val="0"/>
                <w:i w:val="0"/>
                <w:iCs w:val="0"/>
                <w:caps w:val="0"/>
                <w:color w:val="000000"/>
                <w:spacing w:val="0"/>
                <w:kern w:val="0"/>
                <w:sz w:val="24"/>
                <w:szCs w:val="24"/>
                <w:highlight w:val="none"/>
                <w:lang w:val="en-US" w:eastAsia="zh-CN" w:bidi="ar"/>
              </w:rPr>
            </w:pPr>
            <w:r>
              <w:rPr>
                <w:rFonts w:hint="default" w:ascii="Times New Roman" w:hAnsi="Times New Roman" w:eastAsia="Segoe UI" w:cs="Times New Roman"/>
                <w:b w:val="0"/>
                <w:i w:val="0"/>
                <w:iCs w:val="0"/>
                <w:caps w:val="0"/>
                <w:color w:val="000000"/>
                <w:spacing w:val="0"/>
                <w:kern w:val="0"/>
                <w:sz w:val="24"/>
                <w:szCs w:val="24"/>
                <w:highlight w:val="none"/>
                <w:lang w:val="en-US" w:eastAsia="zh-CN" w:bidi="ar"/>
              </w:rPr>
              <w:t>b）建筑施工阶段能源作为原材料及生产过程产生的碳排放；</w:t>
            </w:r>
          </w:p>
          <w:p w14:paraId="16018D82">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Segoe UI" w:cs="Times New Roman"/>
                <w:b w:val="0"/>
                <w:i w:val="0"/>
                <w:iCs w:val="0"/>
                <w:caps w:val="0"/>
                <w:color w:val="000000"/>
                <w:spacing w:val="0"/>
                <w:kern w:val="0"/>
                <w:sz w:val="24"/>
                <w:szCs w:val="24"/>
                <w:highlight w:val="none"/>
                <w:lang w:val="en-US" w:eastAsia="zh-CN" w:bidi="ar"/>
              </w:rPr>
            </w:pPr>
            <w:r>
              <w:rPr>
                <w:rFonts w:hint="default" w:ascii="Times New Roman" w:hAnsi="Times New Roman" w:eastAsia="Segoe UI" w:cs="Times New Roman"/>
                <w:b w:val="0"/>
                <w:i w:val="0"/>
                <w:iCs w:val="0"/>
                <w:caps w:val="0"/>
                <w:color w:val="000000"/>
                <w:spacing w:val="0"/>
                <w:kern w:val="0"/>
                <w:sz w:val="24"/>
                <w:szCs w:val="24"/>
                <w:highlight w:val="none"/>
                <w:lang w:val="en-US" w:eastAsia="zh-CN" w:bidi="ar"/>
              </w:rPr>
              <w:t>c）建筑施工阶段净购入的电力、热力消费产生的碳排放；</w:t>
            </w:r>
          </w:p>
          <w:p w14:paraId="3F5845B8">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Segoe UI" w:cs="Times New Roman"/>
                <w:b w:val="0"/>
                <w:i w:val="0"/>
                <w:iCs w:val="0"/>
                <w:caps w:val="0"/>
                <w:color w:val="000000"/>
                <w:spacing w:val="0"/>
                <w:kern w:val="0"/>
                <w:sz w:val="24"/>
                <w:szCs w:val="24"/>
                <w:highlight w:val="none"/>
                <w:lang w:val="en-US" w:eastAsia="zh-CN" w:bidi="ar"/>
              </w:rPr>
            </w:pPr>
            <w:r>
              <w:rPr>
                <w:rFonts w:hint="default" w:ascii="Times New Roman" w:hAnsi="Times New Roman" w:eastAsia="Segoe UI" w:cs="Times New Roman"/>
                <w:b w:val="0"/>
                <w:i w:val="0"/>
                <w:iCs w:val="0"/>
                <w:caps w:val="0"/>
                <w:color w:val="000000"/>
                <w:spacing w:val="0"/>
                <w:kern w:val="0"/>
                <w:sz w:val="24"/>
                <w:szCs w:val="24"/>
                <w:highlight w:val="none"/>
                <w:lang w:val="en-US" w:eastAsia="zh-CN" w:bidi="ar"/>
              </w:rPr>
              <w:t>d）建筑施工阶段其他形式的碳排放；</w:t>
            </w:r>
          </w:p>
          <w:p w14:paraId="228FA559">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Segoe UI" w:cs="Times New Roman"/>
                <w:b w:val="0"/>
                <w:i w:val="0"/>
                <w:iCs w:val="0"/>
                <w:caps w:val="0"/>
                <w:color w:val="000000"/>
                <w:spacing w:val="0"/>
                <w:kern w:val="0"/>
                <w:sz w:val="24"/>
                <w:szCs w:val="24"/>
                <w:highlight w:val="none"/>
                <w:lang w:val="en-US" w:eastAsia="zh-CN" w:bidi="ar"/>
              </w:rPr>
            </w:pPr>
            <w:r>
              <w:rPr>
                <w:rFonts w:hint="default" w:ascii="Times New Roman" w:hAnsi="Times New Roman" w:eastAsia="Segoe UI" w:cs="Times New Roman"/>
                <w:b w:val="0"/>
                <w:i w:val="0"/>
                <w:iCs w:val="0"/>
                <w:caps w:val="0"/>
                <w:color w:val="000000"/>
                <w:spacing w:val="0"/>
                <w:kern w:val="0"/>
                <w:sz w:val="24"/>
                <w:szCs w:val="24"/>
                <w:highlight w:val="none"/>
                <w:lang w:val="en-US" w:eastAsia="zh-CN" w:bidi="ar"/>
              </w:rPr>
              <w:t>e）建筑施工阶段任何形式的减碳活动；</w:t>
            </w:r>
          </w:p>
          <w:p w14:paraId="6283F163">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Segoe UI" w:cs="Times New Roman"/>
                <w:b w:val="0"/>
                <w:i w:val="0"/>
                <w:iCs w:val="0"/>
                <w:caps w:val="0"/>
                <w:color w:val="000000"/>
                <w:spacing w:val="0"/>
                <w:kern w:val="0"/>
                <w:sz w:val="24"/>
                <w:szCs w:val="24"/>
                <w:highlight w:val="none"/>
                <w:lang w:val="en-US" w:eastAsia="zh-CN" w:bidi="ar"/>
              </w:rPr>
            </w:pPr>
            <w:r>
              <w:rPr>
                <w:rFonts w:hint="default" w:ascii="Times New Roman" w:hAnsi="Times New Roman" w:eastAsia="Segoe UI" w:cs="Times New Roman"/>
                <w:b w:val="0"/>
                <w:i w:val="0"/>
                <w:iCs w:val="0"/>
                <w:caps w:val="0"/>
                <w:color w:val="000000"/>
                <w:spacing w:val="0"/>
                <w:kern w:val="0"/>
                <w:sz w:val="24"/>
                <w:szCs w:val="24"/>
                <w:highlight w:val="none"/>
                <w:lang w:val="en-US" w:eastAsia="zh-CN" w:bidi="ar"/>
              </w:rPr>
              <w:t>f）建筑施工阶段的碳配额核算涉及的计量活动。</w:t>
            </w:r>
          </w:p>
        </w:tc>
        <w:tc>
          <w:tcPr>
            <w:tcW w:w="762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9382626">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Segoe UI" w:cs="Times New Roman"/>
                <w:b w:val="0"/>
                <w:i w:val="0"/>
                <w:iCs w:val="0"/>
                <w:caps w:val="0"/>
                <w:color w:val="000000"/>
                <w:spacing w:val="0"/>
                <w:kern w:val="0"/>
                <w:sz w:val="24"/>
                <w:szCs w:val="24"/>
                <w:highlight w:val="none"/>
                <w:lang w:val="en-US" w:eastAsia="zh-CN" w:bidi="ar"/>
              </w:rPr>
            </w:pPr>
            <w:r>
              <w:rPr>
                <w:rFonts w:hint="default" w:ascii="Times New Roman" w:hAnsi="Times New Roman" w:eastAsia="Segoe UI" w:cs="Times New Roman"/>
                <w:b w:val="0"/>
                <w:i w:val="0"/>
                <w:iCs w:val="0"/>
                <w:caps w:val="0"/>
                <w:color w:val="000000"/>
                <w:spacing w:val="0"/>
                <w:kern w:val="0"/>
                <w:sz w:val="24"/>
                <w:szCs w:val="24"/>
                <w:highlight w:val="none"/>
                <w:lang w:val="en-US" w:eastAsia="zh-CN" w:bidi="ar"/>
              </w:rPr>
              <w:t>覆盖条款全部要求：</w:t>
            </w:r>
          </w:p>
          <w:p w14:paraId="2419746F">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Segoe UI" w:cs="Times New Roman"/>
                <w:b w:val="0"/>
                <w:i w:val="0"/>
                <w:iCs w:val="0"/>
                <w:caps w:val="0"/>
                <w:color w:val="000000"/>
                <w:spacing w:val="0"/>
                <w:kern w:val="0"/>
                <w:sz w:val="24"/>
                <w:szCs w:val="24"/>
                <w:highlight w:val="none"/>
                <w:lang w:val="en-US" w:eastAsia="zh-CN" w:bidi="ar"/>
              </w:rPr>
            </w:pPr>
            <w:r>
              <w:rPr>
                <w:rFonts w:hint="default" w:ascii="Times New Roman" w:hAnsi="Times New Roman" w:eastAsia="Segoe UI" w:cs="Times New Roman"/>
                <w:b w:val="0"/>
                <w:i w:val="0"/>
                <w:iCs w:val="0"/>
                <w:caps w:val="0"/>
                <w:color w:val="000000"/>
                <w:spacing w:val="0"/>
                <w:kern w:val="0"/>
                <w:sz w:val="24"/>
                <w:szCs w:val="24"/>
                <w:highlight w:val="none"/>
                <w:lang w:val="en-US" w:eastAsia="zh-CN" w:bidi="ar"/>
              </w:rPr>
              <w:t>a）：通过涡轮流量计+柴油发票计量挖掘机、渣土车等设备的柴油燃烧排放，通过台账记录食堂天然气消耗排放；</w:t>
            </w:r>
          </w:p>
          <w:p w14:paraId="0FECC770">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Segoe UI" w:cs="Times New Roman"/>
                <w:b w:val="0"/>
                <w:i w:val="0"/>
                <w:iCs w:val="0"/>
                <w:caps w:val="0"/>
                <w:color w:val="000000"/>
                <w:spacing w:val="0"/>
                <w:kern w:val="0"/>
                <w:sz w:val="24"/>
                <w:szCs w:val="24"/>
                <w:highlight w:val="none"/>
                <w:lang w:val="en-US" w:eastAsia="zh-CN" w:bidi="ar"/>
              </w:rPr>
            </w:pPr>
            <w:r>
              <w:rPr>
                <w:rFonts w:hint="default" w:ascii="Times New Roman" w:hAnsi="Times New Roman" w:eastAsia="Segoe UI" w:cs="Times New Roman"/>
                <w:b w:val="0"/>
                <w:i w:val="0"/>
                <w:iCs w:val="0"/>
                <w:caps w:val="0"/>
                <w:color w:val="000000"/>
                <w:spacing w:val="0"/>
                <w:kern w:val="0"/>
                <w:sz w:val="24"/>
                <w:szCs w:val="24"/>
                <w:highlight w:val="none"/>
                <w:lang w:val="en-US" w:eastAsia="zh-CN" w:bidi="ar"/>
              </w:rPr>
              <w:t>b）：对现场搅拌砂浆的水泥、石灰使用量建档，统计过程碳排放；</w:t>
            </w:r>
          </w:p>
          <w:p w14:paraId="29D06BBA">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Segoe UI" w:cs="Times New Roman"/>
                <w:b w:val="0"/>
                <w:i w:val="0"/>
                <w:iCs w:val="0"/>
                <w:caps w:val="0"/>
                <w:color w:val="000000"/>
                <w:spacing w:val="0"/>
                <w:kern w:val="0"/>
                <w:sz w:val="24"/>
                <w:szCs w:val="24"/>
                <w:highlight w:val="none"/>
                <w:lang w:val="en-US" w:eastAsia="zh-CN" w:bidi="ar"/>
              </w:rPr>
            </w:pPr>
            <w:r>
              <w:rPr>
                <w:rFonts w:hint="default" w:ascii="Times New Roman" w:hAnsi="Times New Roman" w:eastAsia="Segoe UI" w:cs="Times New Roman"/>
                <w:b w:val="0"/>
                <w:i w:val="0"/>
                <w:iCs w:val="0"/>
                <w:caps w:val="0"/>
                <w:color w:val="000000"/>
                <w:spacing w:val="0"/>
                <w:kern w:val="0"/>
                <w:sz w:val="24"/>
                <w:szCs w:val="24"/>
                <w:highlight w:val="none"/>
                <w:lang w:val="en-US" w:eastAsia="zh-CN" w:bidi="ar"/>
              </w:rPr>
              <w:t>c）：用分路智能电表计量净购入电力，并采用电力公司结算数据（发票）+现场抄表核对；</w:t>
            </w:r>
          </w:p>
          <w:p w14:paraId="6D8708E1">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Segoe UI" w:cs="Times New Roman"/>
                <w:b w:val="0"/>
                <w:i w:val="0"/>
                <w:iCs w:val="0"/>
                <w:caps w:val="0"/>
                <w:color w:val="000000"/>
                <w:spacing w:val="0"/>
                <w:kern w:val="0"/>
                <w:sz w:val="24"/>
                <w:szCs w:val="24"/>
                <w:highlight w:val="none"/>
                <w:lang w:val="en-US" w:eastAsia="zh-CN" w:bidi="ar"/>
              </w:rPr>
            </w:pPr>
            <w:r>
              <w:rPr>
                <w:rFonts w:hint="default" w:ascii="Times New Roman" w:hAnsi="Times New Roman" w:eastAsia="Segoe UI" w:cs="Times New Roman"/>
                <w:b w:val="0"/>
                <w:i w:val="0"/>
                <w:iCs w:val="0"/>
                <w:caps w:val="0"/>
                <w:color w:val="000000"/>
                <w:spacing w:val="0"/>
                <w:kern w:val="0"/>
                <w:sz w:val="24"/>
                <w:szCs w:val="24"/>
                <w:highlight w:val="none"/>
                <w:lang w:val="en-US" w:eastAsia="zh-CN" w:bidi="ar"/>
              </w:rPr>
              <w:t>d）：不涉及其他形式的碳排放；</w:t>
            </w:r>
          </w:p>
          <w:p w14:paraId="2ED9041F">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Segoe UI" w:cs="Times New Roman"/>
                <w:b w:val="0"/>
                <w:i w:val="0"/>
                <w:iCs w:val="0"/>
                <w:caps w:val="0"/>
                <w:color w:val="000000"/>
                <w:spacing w:val="0"/>
                <w:kern w:val="0"/>
                <w:sz w:val="24"/>
                <w:szCs w:val="24"/>
                <w:highlight w:val="none"/>
                <w:lang w:val="en-US" w:eastAsia="zh-CN" w:bidi="ar"/>
              </w:rPr>
            </w:pPr>
            <w:r>
              <w:rPr>
                <w:rFonts w:hint="default" w:ascii="Times New Roman" w:hAnsi="Times New Roman" w:eastAsia="Segoe UI" w:cs="Times New Roman"/>
                <w:b w:val="0"/>
                <w:i w:val="0"/>
                <w:iCs w:val="0"/>
                <w:caps w:val="0"/>
                <w:color w:val="000000"/>
                <w:spacing w:val="0"/>
                <w:kern w:val="0"/>
                <w:sz w:val="24"/>
                <w:szCs w:val="24"/>
                <w:highlight w:val="none"/>
                <w:lang w:val="en-US" w:eastAsia="zh-CN" w:bidi="ar"/>
              </w:rPr>
              <w:t>e）：对施工现场光伏临时供电（减碳措施）的发电量单独计量，纳入减碳数据；</w:t>
            </w:r>
          </w:p>
          <w:p w14:paraId="2C5B827F">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Segoe UI" w:cs="Times New Roman"/>
                <w:b w:val="0"/>
                <w:i w:val="0"/>
                <w:iCs w:val="0"/>
                <w:caps w:val="0"/>
                <w:color w:val="000000"/>
                <w:spacing w:val="0"/>
                <w:kern w:val="0"/>
                <w:sz w:val="24"/>
                <w:szCs w:val="24"/>
                <w:highlight w:val="none"/>
                <w:lang w:val="en-US" w:eastAsia="zh-CN" w:bidi="ar"/>
              </w:rPr>
            </w:pPr>
            <w:r>
              <w:rPr>
                <w:rFonts w:hint="default" w:ascii="Times New Roman" w:hAnsi="Times New Roman" w:eastAsia="Segoe UI" w:cs="Times New Roman"/>
                <w:b w:val="0"/>
                <w:i w:val="0"/>
                <w:iCs w:val="0"/>
                <w:caps w:val="0"/>
                <w:color w:val="000000"/>
                <w:spacing w:val="0"/>
                <w:kern w:val="0"/>
                <w:sz w:val="24"/>
                <w:szCs w:val="24"/>
                <w:highlight w:val="none"/>
                <w:lang w:val="en-US" w:eastAsia="zh-CN" w:bidi="ar"/>
              </w:rPr>
              <w:t>f）：不涉及碳配额核算活动。</w:t>
            </w:r>
          </w:p>
        </w:tc>
      </w:tr>
      <w:tr w14:paraId="123A7325">
        <w:tblPrEx>
          <w:tblBorders>
            <w:top w:val="single" w:color="auto" w:sz="6" w:space="0"/>
            <w:left w:val="single" w:color="auto" w:sz="2" w:space="0"/>
            <w:bottom w:val="single" w:color="auto" w:sz="2" w:space="0"/>
            <w:right w:val="single" w:color="auto" w:sz="2" w:space="0"/>
            <w:insideH w:val="none" w:color="auto" w:sz="0" w:space="0"/>
            <w:insideV w:val="none" w:color="auto" w:sz="0" w:space="0"/>
          </w:tblBorders>
          <w:shd w:val="clear" w:color="auto" w:fill="FFFFFF"/>
          <w:tblCellMar>
            <w:top w:w="80" w:type="dxa"/>
            <w:left w:w="128" w:type="dxa"/>
            <w:bottom w:w="80" w:type="dxa"/>
            <w:right w:w="128" w:type="dxa"/>
          </w:tblCellMar>
        </w:tblPrEx>
        <w:trPr>
          <w:trHeight w:val="0" w:hRule="atLeast"/>
          <w:jc w:val="center"/>
        </w:trPr>
        <w:tc>
          <w:tcPr>
            <w:tcW w:w="14174"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14:paraId="2366B7A2">
            <w:pPr>
              <w:keepNext w:val="0"/>
              <w:keepLines w:val="0"/>
              <w:widowControl/>
              <w:suppressLineNumbers w:val="0"/>
              <w:snapToGrid w:val="0"/>
              <w:spacing w:before="0" w:beforeAutospacing="0" w:after="0" w:afterAutospacing="0" w:line="420" w:lineRule="atLeast"/>
              <w:ind w:left="0" w:right="0" w:firstLine="0"/>
              <w:jc w:val="both"/>
              <w:rPr>
                <w:rFonts w:hint="default" w:ascii="Times New Roman" w:hAnsi="Times New Roman" w:eastAsia="Segoe UI" w:cs="Times New Roman"/>
                <w:b w:val="0"/>
                <w:i w:val="0"/>
                <w:iCs w:val="0"/>
                <w:caps w:val="0"/>
                <w:color w:val="000000"/>
                <w:spacing w:val="0"/>
                <w:kern w:val="0"/>
                <w:sz w:val="24"/>
                <w:szCs w:val="24"/>
                <w:highlight w:val="none"/>
                <w:lang w:val="en-US" w:eastAsia="zh-CN" w:bidi="ar"/>
              </w:rPr>
            </w:pPr>
            <w:bookmarkStart w:id="2" w:name="_Toc11657"/>
            <w:bookmarkStart w:id="3" w:name="_Toc1566"/>
            <w:bookmarkStart w:id="4" w:name="_Toc195604815"/>
            <w:bookmarkStart w:id="5" w:name="_Toc12742"/>
            <w:bookmarkStart w:id="6" w:name="_Toc197599478"/>
            <w:r>
              <w:rPr>
                <w:rFonts w:hint="default" w:ascii="Times New Roman" w:hAnsi="Times New Roman" w:eastAsia="Segoe UI" w:cs="Times New Roman"/>
                <w:b/>
                <w:bCs w:val="0"/>
                <w:i w:val="0"/>
                <w:iCs w:val="0"/>
                <w:caps w:val="0"/>
                <w:color w:val="000000"/>
                <w:spacing w:val="0"/>
                <w:kern w:val="0"/>
                <w:sz w:val="24"/>
                <w:szCs w:val="24"/>
                <w:highlight w:val="none"/>
                <w:lang w:val="en-US" w:eastAsia="zh-CN" w:bidi="ar"/>
              </w:rPr>
              <w:t>5 计量器具的配备</w:t>
            </w:r>
            <w:bookmarkEnd w:id="2"/>
            <w:bookmarkEnd w:id="3"/>
            <w:bookmarkEnd w:id="4"/>
            <w:bookmarkEnd w:id="5"/>
            <w:bookmarkEnd w:id="6"/>
          </w:p>
        </w:tc>
      </w:tr>
      <w:tr w14:paraId="4C8428D6">
        <w:tblPrEx>
          <w:tblBorders>
            <w:top w:val="single" w:color="auto" w:sz="6" w:space="0"/>
            <w:left w:val="single" w:color="auto" w:sz="2" w:space="0"/>
            <w:bottom w:val="single" w:color="auto" w:sz="2" w:space="0"/>
            <w:right w:val="single" w:color="auto" w:sz="2" w:space="0"/>
            <w:insideH w:val="none" w:color="auto" w:sz="0" w:space="0"/>
            <w:insideV w:val="none" w:color="auto" w:sz="0" w:space="0"/>
          </w:tblBorders>
          <w:shd w:val="clear" w:color="auto" w:fill="FFFFFF"/>
          <w:tblCellMar>
            <w:top w:w="80" w:type="dxa"/>
            <w:left w:w="128" w:type="dxa"/>
            <w:bottom w:w="80" w:type="dxa"/>
            <w:right w:w="128" w:type="dxa"/>
          </w:tblCellMar>
        </w:tblPrEx>
        <w:trPr>
          <w:trHeight w:val="0" w:hRule="atLeast"/>
          <w:jc w:val="center"/>
        </w:trPr>
        <w:tc>
          <w:tcPr>
            <w:tcW w:w="2364" w:type="dxa"/>
            <w:vMerge w:val="restart"/>
            <w:tcBorders>
              <w:top w:val="single" w:color="000000" w:sz="4" w:space="0"/>
              <w:left w:val="single" w:color="000000" w:sz="4" w:space="0"/>
              <w:right w:val="single" w:color="000000" w:sz="4" w:space="0"/>
            </w:tcBorders>
            <w:shd w:val="clear" w:color="auto" w:fill="FFFFFF"/>
            <w:vAlign w:val="center"/>
          </w:tcPr>
          <w:p w14:paraId="230DC1AF">
            <w:pPr>
              <w:keepNext w:val="0"/>
              <w:keepLines w:val="0"/>
              <w:widowControl/>
              <w:suppressLineNumbers w:val="0"/>
              <w:snapToGrid w:val="0"/>
              <w:spacing w:before="0" w:beforeAutospacing="0" w:after="0" w:afterAutospacing="0" w:line="420" w:lineRule="atLeast"/>
              <w:ind w:left="0" w:leftChars="0" w:right="0" w:rightChars="0" w:firstLine="0" w:firstLineChars="0"/>
              <w:jc w:val="left"/>
              <w:rPr>
                <w:rFonts w:hint="default" w:ascii="Times New Roman" w:hAnsi="Times New Roman" w:eastAsia="Segoe UI" w:cs="Times New Roman"/>
                <w:b w:val="0"/>
                <w:i w:val="0"/>
                <w:iCs w:val="0"/>
                <w:caps w:val="0"/>
                <w:color w:val="000000"/>
                <w:spacing w:val="0"/>
                <w:kern w:val="0"/>
                <w:sz w:val="24"/>
                <w:szCs w:val="24"/>
                <w:highlight w:val="none"/>
                <w:lang w:val="en-US" w:eastAsia="zh-CN" w:bidi="ar"/>
              </w:rPr>
            </w:pPr>
            <w:r>
              <w:rPr>
                <w:rFonts w:hint="default" w:ascii="Times New Roman" w:hAnsi="Times New Roman" w:eastAsia="Segoe UI" w:cs="Times New Roman"/>
                <w:b w:val="0"/>
                <w:i w:val="0"/>
                <w:iCs w:val="0"/>
                <w:caps w:val="0"/>
                <w:color w:val="000000"/>
                <w:spacing w:val="0"/>
                <w:kern w:val="0"/>
                <w:sz w:val="24"/>
                <w:szCs w:val="24"/>
                <w:highlight w:val="none"/>
                <w:lang w:val="en-US" w:eastAsia="zh-CN" w:bidi="ar"/>
              </w:rPr>
              <w:t>5.1 计量器具的配备原则</w:t>
            </w:r>
          </w:p>
        </w:tc>
        <w:tc>
          <w:tcPr>
            <w:tcW w:w="41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7CDE3A0">
            <w:pPr>
              <w:keepNext w:val="0"/>
              <w:keepLines w:val="0"/>
              <w:widowControl/>
              <w:suppressLineNumbers w:val="0"/>
              <w:snapToGrid w:val="0"/>
              <w:spacing w:before="0" w:beforeAutospacing="0" w:after="0" w:afterAutospacing="0" w:line="420" w:lineRule="atLeast"/>
              <w:ind w:left="0" w:leftChars="0" w:right="0" w:rightChars="0" w:firstLine="0" w:firstLineChars="0"/>
              <w:jc w:val="left"/>
              <w:rPr>
                <w:rFonts w:hint="default" w:ascii="Times New Roman" w:hAnsi="Times New Roman" w:eastAsia="Segoe UI" w:cs="Times New Roman"/>
                <w:b w:val="0"/>
                <w:i w:val="0"/>
                <w:iCs w:val="0"/>
                <w:caps w:val="0"/>
                <w:color w:val="000000"/>
                <w:spacing w:val="0"/>
                <w:kern w:val="0"/>
                <w:sz w:val="24"/>
                <w:szCs w:val="24"/>
                <w:highlight w:val="none"/>
                <w:lang w:val="en-US" w:eastAsia="zh-CN" w:bidi="ar"/>
              </w:rPr>
            </w:pPr>
            <w:r>
              <w:rPr>
                <w:rFonts w:hint="default" w:ascii="Times New Roman" w:hAnsi="Times New Roman" w:eastAsia="Segoe UI" w:cs="Times New Roman"/>
                <w:b w:val="0"/>
                <w:i w:val="0"/>
                <w:iCs w:val="0"/>
                <w:caps w:val="0"/>
                <w:color w:val="000000"/>
                <w:spacing w:val="0"/>
                <w:kern w:val="0"/>
                <w:sz w:val="24"/>
                <w:szCs w:val="24"/>
                <w:highlight w:val="none"/>
                <w:lang w:val="en-US" w:eastAsia="zh-CN" w:bidi="ar"/>
              </w:rPr>
              <w:t>5.1.1应满足施工阶段</w:t>
            </w:r>
            <w:r>
              <w:rPr>
                <w:rFonts w:hint="default" w:ascii="Times New Roman" w:hAnsi="Times New Roman" w:eastAsia="Segoe UI" w:cs="Times New Roman"/>
                <w:color w:val="000000"/>
                <w:kern w:val="0"/>
                <w:sz w:val="24"/>
                <w:szCs w:val="24"/>
                <w:highlight w:val="none"/>
                <w:lang w:bidi="ar"/>
              </w:rPr>
              <w:t>应满足施工阶段物理边界内按源流分类计量要求。除施工工艺中不包含外，按源流分类应包括电能、燃油（按燃油种类分类）、燃气（按气体种类分类）、外购热（冷）能、焊接保护气、制冷剂、绝缘气体，宜包括无组织排放。</w:t>
            </w:r>
          </w:p>
        </w:tc>
        <w:tc>
          <w:tcPr>
            <w:tcW w:w="7625" w:type="dxa"/>
            <w:vMerge w:val="restart"/>
            <w:tcBorders>
              <w:top w:val="single" w:color="000000" w:sz="4" w:space="0"/>
              <w:left w:val="single" w:color="000000" w:sz="4" w:space="0"/>
              <w:right w:val="single" w:color="000000" w:sz="4" w:space="0"/>
            </w:tcBorders>
            <w:shd w:val="clear" w:color="auto" w:fill="FFFFFF"/>
            <w:vAlign w:val="center"/>
          </w:tcPr>
          <w:p w14:paraId="717A653D">
            <w:pPr>
              <w:keepNext w:val="0"/>
              <w:keepLines w:val="0"/>
              <w:widowControl/>
              <w:suppressLineNumbers w:val="0"/>
              <w:snapToGrid w:val="0"/>
              <w:spacing w:before="0" w:beforeAutospacing="0" w:after="0" w:afterAutospacing="0" w:line="420" w:lineRule="atLeast"/>
              <w:ind w:left="0" w:leftChars="0" w:right="0" w:rightChars="0" w:firstLine="0" w:firstLineChars="0"/>
              <w:jc w:val="left"/>
              <w:rPr>
                <w:rFonts w:hint="default" w:ascii="Times New Roman" w:hAnsi="Times New Roman" w:eastAsia="宋体" w:cs="Times New Roman"/>
                <w:i w:val="0"/>
                <w:iCs w:val="0"/>
                <w:caps w:val="0"/>
                <w:spacing w:val="0"/>
                <w:sz w:val="24"/>
                <w:szCs w:val="24"/>
                <w:highlight w:val="none"/>
                <w:shd w:val="clear" w:fill="FFFFFF"/>
                <w:lang w:eastAsia="zh-CN"/>
              </w:rPr>
            </w:pPr>
            <w:r>
              <w:rPr>
                <w:rFonts w:hint="default" w:ascii="Times New Roman" w:hAnsi="Times New Roman" w:eastAsia="Segoe UI" w:cs="Times New Roman"/>
                <w:i w:val="0"/>
                <w:iCs w:val="0"/>
                <w:caps w:val="0"/>
                <w:spacing w:val="0"/>
                <w:sz w:val="24"/>
                <w:szCs w:val="24"/>
                <w:highlight w:val="none"/>
                <w:shd w:val="clear" w:fill="FFFFFF"/>
              </w:rPr>
              <w:t>配备电表（13块）、水表（3块）、涡轮流量计（2台），覆盖电力、柴油、水资源等主要能源，且塔吊、施工升降机等主要用能设备单独计量，数据可支撑“周能耗分析”“月度碳排放评价”</w:t>
            </w:r>
            <w:r>
              <w:rPr>
                <w:rFonts w:hint="default" w:ascii="Times New Roman" w:hAnsi="Times New Roman" w:eastAsia="宋体" w:cs="Times New Roman"/>
                <w:i w:val="0"/>
                <w:iCs w:val="0"/>
                <w:caps w:val="0"/>
                <w:spacing w:val="0"/>
                <w:sz w:val="24"/>
                <w:szCs w:val="24"/>
                <w:highlight w:val="none"/>
                <w:shd w:val="clear" w:fill="FFFFFF"/>
                <w:lang w:eastAsia="zh-CN"/>
              </w:rPr>
              <w:t>。</w:t>
            </w:r>
          </w:p>
          <w:p w14:paraId="27AEA0D2">
            <w:pPr>
              <w:keepNext w:val="0"/>
              <w:keepLines w:val="0"/>
              <w:widowControl/>
              <w:suppressLineNumbers w:val="0"/>
              <w:snapToGrid w:val="0"/>
              <w:spacing w:before="0" w:beforeAutospacing="0" w:after="0" w:afterAutospacing="0" w:line="420" w:lineRule="atLeast"/>
              <w:ind w:left="0" w:leftChars="0" w:right="0" w:rightChars="0" w:firstLine="0" w:firstLineChars="0"/>
              <w:jc w:val="left"/>
              <w:rPr>
                <w:rFonts w:hint="default" w:ascii="Times New Roman" w:hAnsi="Times New Roman" w:eastAsia="宋体" w:cs="Times New Roman"/>
                <w:i w:val="0"/>
                <w:iCs w:val="0"/>
                <w:caps w:val="0"/>
                <w:spacing w:val="0"/>
                <w:sz w:val="24"/>
                <w:szCs w:val="24"/>
                <w:highlight w:val="none"/>
                <w:shd w:val="clear" w:fill="FFFFFF"/>
                <w:lang w:val="en-US" w:eastAsia="zh-CN"/>
              </w:rPr>
            </w:pPr>
            <w:r>
              <w:rPr>
                <w:rFonts w:hint="eastAsia" w:ascii="Times New Roman" w:hAnsi="Times New Roman" w:eastAsia="宋体" w:cs="Times New Roman"/>
                <w:i w:val="0"/>
                <w:iCs w:val="0"/>
                <w:caps w:val="0"/>
                <w:spacing w:val="0"/>
                <w:sz w:val="24"/>
                <w:szCs w:val="24"/>
                <w:highlight w:val="none"/>
                <w:shd w:val="clear"/>
                <w:lang w:val="en-US" w:eastAsia="zh-CN"/>
              </w:rPr>
              <w:t>分类计量电能涵盖</w:t>
            </w:r>
            <w:r>
              <w:rPr>
                <w:rFonts w:hint="default" w:ascii="Times New Roman" w:hAnsi="Times New Roman" w:eastAsia="宋体" w:cs="Times New Roman"/>
                <w:i w:val="0"/>
                <w:iCs w:val="0"/>
                <w:caps w:val="0"/>
                <w:spacing w:val="0"/>
                <w:sz w:val="24"/>
                <w:szCs w:val="24"/>
                <w:highlight w:val="none"/>
                <w:shd w:val="clear"/>
                <w:lang w:val="en-US" w:eastAsia="zh-CN"/>
              </w:rPr>
              <w:t>施工用电、办公用电、生活用电、运输用电</w:t>
            </w:r>
            <w:r>
              <w:rPr>
                <w:rFonts w:hint="eastAsia" w:ascii="Times New Roman" w:hAnsi="Times New Roman" w:eastAsia="宋体" w:cs="Times New Roman"/>
                <w:i w:val="0"/>
                <w:iCs w:val="0"/>
                <w:caps w:val="0"/>
                <w:spacing w:val="0"/>
                <w:sz w:val="24"/>
                <w:szCs w:val="24"/>
                <w:highlight w:val="none"/>
                <w:shd w:val="clear"/>
                <w:lang w:val="en-US" w:eastAsia="zh-CN"/>
              </w:rPr>
              <w:t>，燃油包含</w:t>
            </w:r>
            <w:r>
              <w:rPr>
                <w:rFonts w:hint="default" w:ascii="Times New Roman" w:hAnsi="Times New Roman" w:eastAsia="Segoe UI" w:cs="Times New Roman"/>
                <w:color w:val="000000"/>
                <w:kern w:val="0"/>
                <w:sz w:val="24"/>
                <w:szCs w:val="24"/>
                <w:highlight w:val="none"/>
                <w:shd w:val="clear"/>
                <w:lang w:bidi="ar"/>
              </w:rPr>
              <w:t>非道路移动机械</w:t>
            </w:r>
            <w:r>
              <w:rPr>
                <w:rFonts w:hint="eastAsia" w:ascii="Times New Roman" w:hAnsi="Times New Roman" w:eastAsia="宋体" w:cs="Times New Roman"/>
                <w:color w:val="000000"/>
                <w:kern w:val="0"/>
                <w:sz w:val="24"/>
                <w:szCs w:val="24"/>
                <w:highlight w:val="none"/>
                <w:shd w:val="clear"/>
                <w:lang w:eastAsia="zh-CN" w:bidi="ar"/>
              </w:rPr>
              <w:t>（</w:t>
            </w:r>
            <w:r>
              <w:rPr>
                <w:rFonts w:hint="eastAsia" w:ascii="Times New Roman" w:hAnsi="Times New Roman" w:eastAsia="宋体" w:cs="Times New Roman"/>
                <w:color w:val="000000"/>
                <w:kern w:val="0"/>
                <w:sz w:val="24"/>
                <w:szCs w:val="24"/>
                <w:highlight w:val="none"/>
                <w:shd w:val="clear"/>
                <w:lang w:val="en-US" w:eastAsia="zh-CN" w:bidi="ar"/>
              </w:rPr>
              <w:t>例如：</w:t>
            </w:r>
            <w:r>
              <w:rPr>
                <w:rFonts w:hint="eastAsia" w:ascii="Times New Roman" w:hAnsi="Times New Roman" w:eastAsia="宋体" w:cs="Times New Roman"/>
                <w:color w:val="000000"/>
                <w:kern w:val="0"/>
                <w:sz w:val="24"/>
                <w:szCs w:val="24"/>
                <w:highlight w:val="none"/>
                <w:shd w:val="clear"/>
                <w:lang w:bidi="ar"/>
              </w:rPr>
              <w:t>液压挖掘机</w:t>
            </w:r>
            <w:r>
              <w:rPr>
                <w:rFonts w:hint="eastAsia" w:ascii="Times New Roman" w:hAnsi="Times New Roman" w:eastAsia="宋体" w:cs="Times New Roman"/>
                <w:color w:val="000000"/>
                <w:kern w:val="0"/>
                <w:sz w:val="24"/>
                <w:szCs w:val="24"/>
                <w:highlight w:val="none"/>
                <w:shd w:val="clear"/>
                <w:lang w:eastAsia="zh-CN" w:bidi="ar"/>
              </w:rPr>
              <w:t>）</w:t>
            </w:r>
            <w:r>
              <w:rPr>
                <w:rFonts w:hint="default" w:ascii="Times New Roman" w:hAnsi="Times New Roman" w:eastAsia="Segoe UI" w:cs="Times New Roman"/>
                <w:color w:val="000000"/>
                <w:kern w:val="0"/>
                <w:sz w:val="24"/>
                <w:szCs w:val="24"/>
                <w:highlight w:val="none"/>
                <w:shd w:val="clear"/>
                <w:lang w:bidi="ar"/>
              </w:rPr>
              <w:t>、运输车辆</w:t>
            </w:r>
            <w:r>
              <w:rPr>
                <w:rFonts w:hint="eastAsia" w:ascii="Times New Roman" w:hAnsi="Times New Roman" w:eastAsia="宋体" w:cs="Times New Roman"/>
                <w:color w:val="000000"/>
                <w:kern w:val="0"/>
                <w:sz w:val="24"/>
                <w:szCs w:val="24"/>
                <w:highlight w:val="none"/>
                <w:shd w:val="clear"/>
                <w:lang w:eastAsia="zh-CN" w:bidi="ar"/>
              </w:rPr>
              <w:t>（</w:t>
            </w:r>
            <w:r>
              <w:rPr>
                <w:rFonts w:hint="eastAsia" w:ascii="Times New Roman" w:hAnsi="Times New Roman" w:eastAsia="宋体" w:cs="Times New Roman"/>
                <w:color w:val="000000"/>
                <w:kern w:val="0"/>
                <w:sz w:val="24"/>
                <w:szCs w:val="24"/>
                <w:highlight w:val="none"/>
                <w:shd w:val="clear"/>
                <w:lang w:val="en-US" w:eastAsia="zh-CN" w:bidi="ar"/>
              </w:rPr>
              <w:t>例如：</w:t>
            </w:r>
            <w:r>
              <w:rPr>
                <w:rFonts w:hint="eastAsia" w:ascii="Times New Roman" w:hAnsi="Times New Roman" w:eastAsia="宋体" w:cs="Times New Roman"/>
                <w:color w:val="000000"/>
                <w:kern w:val="0"/>
                <w:sz w:val="24"/>
                <w:szCs w:val="24"/>
                <w:highlight w:val="none"/>
                <w:shd w:val="clear"/>
                <w:lang w:bidi="ar"/>
              </w:rPr>
              <w:t>渣土车</w:t>
            </w:r>
            <w:r>
              <w:rPr>
                <w:rFonts w:hint="eastAsia" w:ascii="Times New Roman" w:hAnsi="Times New Roman" w:eastAsia="宋体" w:cs="Times New Roman"/>
                <w:color w:val="000000"/>
                <w:kern w:val="0"/>
                <w:sz w:val="24"/>
                <w:szCs w:val="24"/>
                <w:highlight w:val="none"/>
                <w:shd w:val="clear"/>
                <w:lang w:eastAsia="zh-CN" w:bidi="ar"/>
              </w:rPr>
              <w:t>）</w:t>
            </w:r>
            <w:r>
              <w:rPr>
                <w:rFonts w:hint="default" w:ascii="Times New Roman" w:hAnsi="Times New Roman" w:eastAsia="Segoe UI" w:cs="Times New Roman"/>
                <w:color w:val="000000"/>
                <w:kern w:val="0"/>
                <w:sz w:val="24"/>
                <w:szCs w:val="24"/>
                <w:highlight w:val="none"/>
                <w:shd w:val="clear"/>
                <w:lang w:bidi="ar"/>
              </w:rPr>
              <w:t>、固定机械</w:t>
            </w:r>
            <w:r>
              <w:rPr>
                <w:rFonts w:hint="eastAsia" w:ascii="Times New Roman" w:hAnsi="Times New Roman" w:eastAsia="宋体" w:cs="Times New Roman"/>
                <w:color w:val="000000"/>
                <w:kern w:val="0"/>
                <w:sz w:val="24"/>
                <w:szCs w:val="24"/>
                <w:highlight w:val="none"/>
                <w:shd w:val="clear"/>
                <w:lang w:eastAsia="zh-CN" w:bidi="ar"/>
              </w:rPr>
              <w:t>（</w:t>
            </w:r>
            <w:r>
              <w:rPr>
                <w:rFonts w:hint="eastAsia" w:ascii="Times New Roman" w:hAnsi="Times New Roman" w:eastAsia="宋体" w:cs="Times New Roman"/>
                <w:color w:val="000000"/>
                <w:kern w:val="0"/>
                <w:sz w:val="24"/>
                <w:szCs w:val="24"/>
                <w:highlight w:val="none"/>
                <w:shd w:val="clear"/>
                <w:lang w:val="en-US" w:eastAsia="zh-CN" w:bidi="ar"/>
              </w:rPr>
              <w:t>例如：</w:t>
            </w:r>
            <w:r>
              <w:rPr>
                <w:rFonts w:hint="eastAsia" w:ascii="Times New Roman" w:hAnsi="Times New Roman" w:eastAsia="宋体" w:cs="Times New Roman"/>
                <w:color w:val="000000"/>
                <w:kern w:val="0"/>
                <w:sz w:val="24"/>
                <w:szCs w:val="24"/>
                <w:highlight w:val="none"/>
                <w:shd w:val="clear"/>
                <w:lang w:bidi="ar"/>
              </w:rPr>
              <w:t>塔式起重机</w:t>
            </w:r>
            <w:r>
              <w:rPr>
                <w:rFonts w:hint="eastAsia" w:ascii="Times New Roman" w:hAnsi="Times New Roman" w:eastAsia="宋体" w:cs="Times New Roman"/>
                <w:color w:val="000000"/>
                <w:kern w:val="0"/>
                <w:sz w:val="24"/>
                <w:szCs w:val="24"/>
                <w:highlight w:val="none"/>
                <w:shd w:val="clear"/>
                <w:lang w:eastAsia="zh-CN" w:bidi="ar"/>
              </w:rPr>
              <w:t>），</w:t>
            </w:r>
            <w:r>
              <w:rPr>
                <w:rFonts w:hint="eastAsia" w:ascii="Times New Roman" w:hAnsi="Times New Roman" w:eastAsia="宋体" w:cs="Times New Roman"/>
                <w:i w:val="0"/>
                <w:iCs w:val="0"/>
                <w:caps w:val="0"/>
                <w:spacing w:val="0"/>
                <w:sz w:val="24"/>
                <w:szCs w:val="24"/>
                <w:highlight w:val="none"/>
                <w:shd w:val="clear"/>
                <w:lang w:val="en-US" w:eastAsia="zh-CN"/>
              </w:rPr>
              <w:t>本项目不涉及燃气。</w:t>
            </w:r>
          </w:p>
        </w:tc>
      </w:tr>
      <w:tr w14:paraId="5AA4D865">
        <w:tblPrEx>
          <w:tblBorders>
            <w:top w:val="single" w:color="auto" w:sz="6" w:space="0"/>
            <w:left w:val="single" w:color="auto" w:sz="2" w:space="0"/>
            <w:bottom w:val="single" w:color="auto" w:sz="2" w:space="0"/>
            <w:right w:val="single" w:color="auto" w:sz="2" w:space="0"/>
            <w:insideH w:val="none" w:color="auto" w:sz="0" w:space="0"/>
            <w:insideV w:val="none" w:color="auto" w:sz="0" w:space="0"/>
          </w:tblBorders>
          <w:shd w:val="clear" w:color="auto" w:fill="FFFFFF"/>
          <w:tblCellMar>
            <w:top w:w="80" w:type="dxa"/>
            <w:left w:w="128" w:type="dxa"/>
            <w:bottom w:w="80" w:type="dxa"/>
            <w:right w:w="128" w:type="dxa"/>
          </w:tblCellMar>
        </w:tblPrEx>
        <w:trPr>
          <w:trHeight w:val="0" w:hRule="atLeast"/>
          <w:jc w:val="center"/>
        </w:trPr>
        <w:tc>
          <w:tcPr>
            <w:tcW w:w="2364" w:type="dxa"/>
            <w:vMerge w:val="continue"/>
            <w:tcBorders>
              <w:left w:val="single" w:color="000000" w:sz="4" w:space="0"/>
              <w:right w:val="single" w:color="000000" w:sz="4" w:space="0"/>
            </w:tcBorders>
            <w:shd w:val="clear" w:color="auto" w:fill="FFFFFF"/>
            <w:vAlign w:val="center"/>
          </w:tcPr>
          <w:p w14:paraId="5DCDE234">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Segoe UI" w:cs="Times New Roman"/>
                <w:b w:val="0"/>
                <w:i w:val="0"/>
                <w:iCs w:val="0"/>
                <w:caps w:val="0"/>
                <w:color w:val="000000"/>
                <w:spacing w:val="0"/>
                <w:kern w:val="0"/>
                <w:sz w:val="24"/>
                <w:szCs w:val="24"/>
                <w:highlight w:val="none"/>
                <w:lang w:val="en-US" w:eastAsia="zh-CN" w:bidi="ar"/>
              </w:rPr>
            </w:pPr>
          </w:p>
        </w:tc>
        <w:tc>
          <w:tcPr>
            <w:tcW w:w="41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DB2FC3B">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Segoe UI" w:cs="Times New Roman"/>
                <w:color w:val="000000"/>
                <w:kern w:val="0"/>
                <w:sz w:val="24"/>
                <w:szCs w:val="24"/>
                <w:highlight w:val="none"/>
                <w:lang w:bidi="ar"/>
              </w:rPr>
            </w:pPr>
            <w:r>
              <w:rPr>
                <w:rFonts w:hint="eastAsia" w:ascii="Times New Roman" w:hAnsi="Times New Roman" w:eastAsia="宋体" w:cs="Times New Roman"/>
                <w:color w:val="000000"/>
                <w:kern w:val="0"/>
                <w:sz w:val="24"/>
                <w:szCs w:val="24"/>
                <w:highlight w:val="none"/>
                <w:lang w:val="en-US" w:eastAsia="zh-CN" w:bidi="ar"/>
              </w:rPr>
              <w:t>5.1.2</w:t>
            </w:r>
            <w:r>
              <w:rPr>
                <w:rFonts w:hint="default" w:ascii="Times New Roman" w:hAnsi="Times New Roman" w:eastAsia="Segoe UI" w:cs="Times New Roman"/>
                <w:color w:val="000000"/>
                <w:kern w:val="0"/>
                <w:sz w:val="24"/>
                <w:szCs w:val="24"/>
                <w:highlight w:val="none"/>
                <w:lang w:bidi="ar"/>
              </w:rPr>
              <w:t>应满足施工阶段物理边界内按排放类型分类计量要求，且除施工工艺不包含外应满足下列要求：</w:t>
            </w:r>
          </w:p>
          <w:p w14:paraId="53F5BC12">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Segoe UI" w:cs="Times New Roman"/>
                <w:color w:val="000000"/>
                <w:kern w:val="0"/>
                <w:sz w:val="24"/>
                <w:szCs w:val="24"/>
                <w:highlight w:val="none"/>
                <w:lang w:bidi="ar"/>
              </w:rPr>
            </w:pPr>
            <w:r>
              <w:rPr>
                <w:rFonts w:hint="default" w:ascii="Times New Roman" w:hAnsi="Times New Roman" w:eastAsia="Segoe UI" w:cs="Times New Roman"/>
                <w:color w:val="000000"/>
                <w:kern w:val="0"/>
                <w:sz w:val="24"/>
                <w:szCs w:val="24"/>
                <w:highlight w:val="none"/>
                <w:lang w:bidi="ar"/>
              </w:rPr>
              <w:t>1）电能应至少分为施工用电、办公用电、生活用电、运输用电；</w:t>
            </w:r>
          </w:p>
          <w:p w14:paraId="087A5B7F">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Segoe UI" w:cs="Times New Roman"/>
                <w:color w:val="000000"/>
                <w:kern w:val="0"/>
                <w:sz w:val="24"/>
                <w:szCs w:val="24"/>
                <w:highlight w:val="none"/>
                <w:lang w:bidi="ar"/>
              </w:rPr>
            </w:pPr>
            <w:r>
              <w:rPr>
                <w:rFonts w:hint="default" w:ascii="Times New Roman" w:hAnsi="Times New Roman" w:eastAsia="Segoe UI" w:cs="Times New Roman"/>
                <w:color w:val="000000"/>
                <w:kern w:val="0"/>
                <w:sz w:val="24"/>
                <w:szCs w:val="24"/>
                <w:highlight w:val="none"/>
                <w:lang w:bidi="ar"/>
              </w:rPr>
              <w:t>2）燃油应至少分为非道路移动机械、运输车辆、其他移动源、固定机械；</w:t>
            </w:r>
          </w:p>
          <w:p w14:paraId="7189F32E">
            <w:pPr>
              <w:keepNext w:val="0"/>
              <w:keepLines w:val="0"/>
              <w:widowControl/>
              <w:suppressLineNumbers w:val="0"/>
              <w:snapToGrid w:val="0"/>
              <w:spacing w:before="0" w:beforeAutospacing="0" w:after="0" w:afterAutospacing="0" w:line="420" w:lineRule="atLeast"/>
              <w:ind w:left="0" w:right="0" w:firstLine="0"/>
              <w:jc w:val="left"/>
              <w:rPr>
                <w:rFonts w:hint="eastAsia" w:ascii="Times New Roman" w:hAnsi="Times New Roman" w:eastAsia="宋体" w:cs="Times New Roman"/>
                <w:color w:val="000000"/>
                <w:kern w:val="0"/>
                <w:sz w:val="24"/>
                <w:szCs w:val="24"/>
                <w:highlight w:val="none"/>
                <w:lang w:bidi="ar"/>
              </w:rPr>
            </w:pPr>
            <w:r>
              <w:rPr>
                <w:rFonts w:hint="default" w:ascii="Times New Roman" w:hAnsi="Times New Roman" w:eastAsia="Segoe UI" w:cs="Times New Roman"/>
                <w:color w:val="000000"/>
                <w:kern w:val="0"/>
                <w:sz w:val="24"/>
                <w:szCs w:val="24"/>
                <w:highlight w:val="none"/>
                <w:lang w:bidi="ar"/>
              </w:rPr>
              <w:t>3）燃气应至少分为施工用燃气、生活用燃气、运输用燃气</w:t>
            </w:r>
            <w:r>
              <w:rPr>
                <w:rFonts w:hint="eastAsia" w:ascii="Times New Roman" w:hAnsi="Times New Roman" w:eastAsia="宋体" w:cs="Times New Roman"/>
                <w:color w:val="000000"/>
                <w:kern w:val="0"/>
                <w:sz w:val="24"/>
                <w:szCs w:val="24"/>
                <w:highlight w:val="none"/>
                <w:lang w:eastAsia="zh-CN" w:bidi="ar"/>
              </w:rPr>
              <w:t>；</w:t>
            </w:r>
          </w:p>
          <w:p w14:paraId="0CB781E8">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Segoe UI" w:cs="Times New Roman"/>
                <w:b w:val="0"/>
                <w:i w:val="0"/>
                <w:iCs w:val="0"/>
                <w:caps w:val="0"/>
                <w:color w:val="000000"/>
                <w:spacing w:val="0"/>
                <w:kern w:val="0"/>
                <w:sz w:val="24"/>
                <w:szCs w:val="24"/>
                <w:highlight w:val="none"/>
                <w:lang w:val="en-US" w:eastAsia="zh-CN" w:bidi="ar"/>
              </w:rPr>
            </w:pPr>
            <w:r>
              <w:rPr>
                <w:rFonts w:hint="default" w:ascii="Times New Roman" w:hAnsi="Times New Roman" w:eastAsia="Segoe UI" w:cs="Times New Roman"/>
                <w:color w:val="000000"/>
                <w:kern w:val="0"/>
                <w:sz w:val="24"/>
                <w:szCs w:val="24"/>
                <w:highlight w:val="none"/>
                <w:lang w:bidi="ar"/>
              </w:rPr>
              <w:t>4）无组织排放宜分为建材无组织排放、施工机具无组织排放。</w:t>
            </w:r>
          </w:p>
        </w:tc>
        <w:tc>
          <w:tcPr>
            <w:tcW w:w="7625" w:type="dxa"/>
            <w:vMerge w:val="continue"/>
            <w:tcBorders>
              <w:left w:val="single" w:color="000000" w:sz="4" w:space="0"/>
              <w:right w:val="single" w:color="000000" w:sz="4" w:space="0"/>
            </w:tcBorders>
            <w:shd w:val="clear" w:color="auto" w:fill="FFFFFF"/>
            <w:vAlign w:val="center"/>
          </w:tcPr>
          <w:p w14:paraId="4BD8B94C">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Segoe UI" w:cs="Times New Roman"/>
                <w:b w:val="0"/>
                <w:i w:val="0"/>
                <w:iCs w:val="0"/>
                <w:caps w:val="0"/>
                <w:color w:val="000000"/>
                <w:spacing w:val="0"/>
                <w:kern w:val="0"/>
                <w:sz w:val="24"/>
                <w:szCs w:val="24"/>
                <w:highlight w:val="none"/>
                <w:lang w:val="en-US" w:eastAsia="zh-CN" w:bidi="ar"/>
              </w:rPr>
            </w:pPr>
          </w:p>
        </w:tc>
      </w:tr>
      <w:tr w14:paraId="32605F22">
        <w:tblPrEx>
          <w:tblBorders>
            <w:top w:val="single" w:color="auto" w:sz="6" w:space="0"/>
            <w:left w:val="single" w:color="auto" w:sz="2" w:space="0"/>
            <w:bottom w:val="single" w:color="auto" w:sz="2" w:space="0"/>
            <w:right w:val="single" w:color="auto" w:sz="2" w:space="0"/>
            <w:insideH w:val="none" w:color="auto" w:sz="0" w:space="0"/>
            <w:insideV w:val="none" w:color="auto" w:sz="0" w:space="0"/>
          </w:tblBorders>
          <w:shd w:val="clear" w:color="auto" w:fill="FFFFFF"/>
          <w:tblCellMar>
            <w:top w:w="80" w:type="dxa"/>
            <w:left w:w="128" w:type="dxa"/>
            <w:bottom w:w="80" w:type="dxa"/>
            <w:right w:w="128" w:type="dxa"/>
          </w:tblCellMar>
        </w:tblPrEx>
        <w:trPr>
          <w:trHeight w:val="0" w:hRule="atLeast"/>
          <w:jc w:val="center"/>
        </w:trPr>
        <w:tc>
          <w:tcPr>
            <w:tcW w:w="2364" w:type="dxa"/>
            <w:vMerge w:val="continue"/>
            <w:tcBorders>
              <w:left w:val="single" w:color="000000" w:sz="4" w:space="0"/>
              <w:right w:val="single" w:color="000000" w:sz="4" w:space="0"/>
            </w:tcBorders>
            <w:shd w:val="clear" w:color="auto" w:fill="FFFFFF"/>
            <w:vAlign w:val="center"/>
          </w:tcPr>
          <w:p w14:paraId="00C57C04">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Segoe UI" w:cs="Times New Roman"/>
                <w:b w:val="0"/>
                <w:i w:val="0"/>
                <w:iCs w:val="0"/>
                <w:caps w:val="0"/>
                <w:color w:val="000000"/>
                <w:spacing w:val="0"/>
                <w:kern w:val="0"/>
                <w:sz w:val="24"/>
                <w:szCs w:val="24"/>
                <w:highlight w:val="none"/>
                <w:lang w:val="en-US" w:eastAsia="zh-CN" w:bidi="ar"/>
              </w:rPr>
            </w:pPr>
          </w:p>
        </w:tc>
        <w:tc>
          <w:tcPr>
            <w:tcW w:w="41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B306651">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Segoe UI" w:cs="Times New Roman"/>
                <w:b w:val="0"/>
                <w:i w:val="0"/>
                <w:iCs w:val="0"/>
                <w:caps w:val="0"/>
                <w:color w:val="000000"/>
                <w:spacing w:val="0"/>
                <w:kern w:val="0"/>
                <w:sz w:val="24"/>
                <w:szCs w:val="24"/>
                <w:highlight w:val="none"/>
                <w:lang w:val="en-US" w:eastAsia="zh-CN" w:bidi="ar"/>
              </w:rPr>
            </w:pPr>
            <w:r>
              <w:rPr>
                <w:rFonts w:hint="default" w:ascii="Times New Roman" w:hAnsi="Times New Roman" w:eastAsia="Segoe UI" w:cs="Times New Roman"/>
                <w:b w:val="0"/>
                <w:i w:val="0"/>
                <w:iCs w:val="0"/>
                <w:caps w:val="0"/>
                <w:color w:val="000000"/>
                <w:spacing w:val="0"/>
                <w:kern w:val="0"/>
                <w:sz w:val="24"/>
                <w:szCs w:val="24"/>
                <w:highlight w:val="none"/>
                <w:lang w:val="en-US" w:eastAsia="zh-CN" w:bidi="ar"/>
              </w:rPr>
              <w:t>5.1</w:t>
            </w:r>
            <w:r>
              <w:rPr>
                <w:rFonts w:hint="eastAsia" w:ascii="Times New Roman" w:hAnsi="Times New Roman" w:eastAsia="Segoe UI" w:cs="Times New Roman"/>
                <w:b w:val="0"/>
                <w:i w:val="0"/>
                <w:iCs w:val="0"/>
                <w:caps w:val="0"/>
                <w:color w:val="000000"/>
                <w:spacing w:val="0"/>
                <w:kern w:val="0"/>
                <w:sz w:val="24"/>
                <w:szCs w:val="24"/>
                <w:highlight w:val="none"/>
                <w:lang w:val="en-US" w:eastAsia="zh-CN" w:bidi="ar"/>
              </w:rPr>
              <w:t>.3</w:t>
            </w:r>
            <w:r>
              <w:rPr>
                <w:rFonts w:hint="default" w:ascii="Times New Roman" w:hAnsi="Times New Roman" w:eastAsia="Segoe UI" w:cs="Times New Roman"/>
                <w:b w:val="0"/>
                <w:i w:val="0"/>
                <w:iCs w:val="0"/>
                <w:caps w:val="0"/>
                <w:color w:val="000000"/>
                <w:spacing w:val="0"/>
                <w:kern w:val="0"/>
                <w:sz w:val="24"/>
                <w:szCs w:val="24"/>
                <w:highlight w:val="none"/>
                <w:lang w:val="en-US" w:eastAsia="zh-CN" w:bidi="ar"/>
              </w:rPr>
              <w:t>应满足施工阶段的</w:t>
            </w:r>
            <w:r>
              <w:rPr>
                <w:rFonts w:hint="default" w:ascii="Times New Roman" w:hAnsi="Times New Roman" w:eastAsia="Segoe UI" w:cs="Times New Roman"/>
                <w:color w:val="000000"/>
                <w:kern w:val="0"/>
                <w:sz w:val="24"/>
                <w:szCs w:val="24"/>
                <w:highlight w:val="none"/>
                <w:lang w:bidi="ar"/>
              </w:rPr>
              <w:t>重点排放</w:t>
            </w:r>
            <w:r>
              <w:rPr>
                <w:rFonts w:hint="default" w:ascii="Times New Roman" w:hAnsi="Times New Roman" w:eastAsia="Segoe UI" w:cs="Times New Roman"/>
                <w:b w:val="0"/>
                <w:i w:val="0"/>
                <w:iCs w:val="0"/>
                <w:caps w:val="0"/>
                <w:color w:val="000000"/>
                <w:spacing w:val="0"/>
                <w:kern w:val="0"/>
                <w:sz w:val="24"/>
                <w:szCs w:val="24"/>
                <w:highlight w:val="none"/>
                <w:lang w:val="en-US" w:eastAsia="zh-CN" w:bidi="ar"/>
              </w:rPr>
              <w:t>设备单独进行计量的要求。</w:t>
            </w:r>
          </w:p>
        </w:tc>
        <w:tc>
          <w:tcPr>
            <w:tcW w:w="7625" w:type="dxa"/>
            <w:vMerge w:val="continue"/>
            <w:tcBorders>
              <w:left w:val="single" w:color="000000" w:sz="4" w:space="0"/>
              <w:right w:val="single" w:color="000000" w:sz="4" w:space="0"/>
            </w:tcBorders>
            <w:shd w:val="clear" w:color="auto" w:fill="FFFFFF"/>
            <w:vAlign w:val="center"/>
          </w:tcPr>
          <w:p w14:paraId="4B5F8F17">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Segoe UI" w:cs="Times New Roman"/>
                <w:b w:val="0"/>
                <w:i w:val="0"/>
                <w:iCs w:val="0"/>
                <w:caps w:val="0"/>
                <w:color w:val="000000"/>
                <w:spacing w:val="0"/>
                <w:kern w:val="0"/>
                <w:sz w:val="24"/>
                <w:szCs w:val="24"/>
                <w:highlight w:val="none"/>
                <w:lang w:val="en-US" w:eastAsia="zh-CN" w:bidi="ar"/>
              </w:rPr>
            </w:pPr>
          </w:p>
        </w:tc>
      </w:tr>
      <w:tr w14:paraId="77ABCFF9">
        <w:tblPrEx>
          <w:tblBorders>
            <w:top w:val="single" w:color="auto" w:sz="6" w:space="0"/>
            <w:left w:val="single" w:color="auto" w:sz="2" w:space="0"/>
            <w:bottom w:val="single" w:color="auto" w:sz="2" w:space="0"/>
            <w:right w:val="single" w:color="auto" w:sz="2" w:space="0"/>
            <w:insideH w:val="none" w:color="auto" w:sz="0" w:space="0"/>
            <w:insideV w:val="none" w:color="auto" w:sz="0" w:space="0"/>
          </w:tblBorders>
          <w:shd w:val="clear" w:color="auto" w:fill="FFFFFF"/>
          <w:tblCellMar>
            <w:top w:w="80" w:type="dxa"/>
            <w:left w:w="128" w:type="dxa"/>
            <w:bottom w:w="80" w:type="dxa"/>
            <w:right w:w="128" w:type="dxa"/>
          </w:tblCellMar>
        </w:tblPrEx>
        <w:trPr>
          <w:trHeight w:val="0" w:hRule="atLeast"/>
          <w:jc w:val="center"/>
        </w:trPr>
        <w:tc>
          <w:tcPr>
            <w:tcW w:w="2364" w:type="dxa"/>
            <w:vMerge w:val="continue"/>
            <w:tcBorders>
              <w:left w:val="single" w:color="000000" w:sz="4" w:space="0"/>
              <w:right w:val="single" w:color="000000" w:sz="4" w:space="0"/>
            </w:tcBorders>
            <w:shd w:val="clear" w:color="auto" w:fill="FFFFFF"/>
            <w:vAlign w:val="center"/>
          </w:tcPr>
          <w:p w14:paraId="7E6F59BD">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Segoe UI" w:cs="Times New Roman"/>
                <w:b w:val="0"/>
                <w:i w:val="0"/>
                <w:iCs w:val="0"/>
                <w:caps w:val="0"/>
                <w:color w:val="000000"/>
                <w:spacing w:val="0"/>
                <w:kern w:val="0"/>
                <w:sz w:val="24"/>
                <w:szCs w:val="24"/>
                <w:highlight w:val="none"/>
                <w:lang w:val="en-US" w:eastAsia="zh-CN" w:bidi="ar"/>
              </w:rPr>
            </w:pPr>
          </w:p>
        </w:tc>
        <w:tc>
          <w:tcPr>
            <w:tcW w:w="41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B133673">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Segoe UI" w:cs="Times New Roman"/>
                <w:b w:val="0"/>
                <w:i w:val="0"/>
                <w:iCs w:val="0"/>
                <w:caps w:val="0"/>
                <w:color w:val="000000"/>
                <w:spacing w:val="0"/>
                <w:kern w:val="0"/>
                <w:sz w:val="24"/>
                <w:szCs w:val="24"/>
                <w:highlight w:val="none"/>
                <w:lang w:val="en-US" w:eastAsia="zh-CN" w:bidi="ar"/>
              </w:rPr>
            </w:pPr>
            <w:r>
              <w:rPr>
                <w:rFonts w:hint="default" w:ascii="Times New Roman" w:hAnsi="Times New Roman" w:eastAsia="Segoe UI" w:cs="Times New Roman"/>
                <w:b w:val="0"/>
                <w:i w:val="0"/>
                <w:iCs w:val="0"/>
                <w:caps w:val="0"/>
                <w:color w:val="000000"/>
                <w:spacing w:val="0"/>
                <w:kern w:val="0"/>
                <w:sz w:val="24"/>
                <w:szCs w:val="24"/>
                <w:highlight w:val="none"/>
                <w:lang w:val="en-US" w:eastAsia="zh-CN" w:bidi="ar"/>
              </w:rPr>
              <w:t>5.1.</w:t>
            </w:r>
            <w:r>
              <w:rPr>
                <w:rFonts w:hint="eastAsia" w:ascii="Times New Roman" w:hAnsi="Times New Roman" w:eastAsia="Segoe UI" w:cs="Times New Roman"/>
                <w:b w:val="0"/>
                <w:i w:val="0"/>
                <w:iCs w:val="0"/>
                <w:caps w:val="0"/>
                <w:color w:val="000000"/>
                <w:spacing w:val="0"/>
                <w:kern w:val="0"/>
                <w:sz w:val="24"/>
                <w:szCs w:val="24"/>
                <w:highlight w:val="none"/>
                <w:lang w:val="en-US" w:eastAsia="zh-CN" w:bidi="ar"/>
              </w:rPr>
              <w:t>4</w:t>
            </w:r>
            <w:r>
              <w:rPr>
                <w:rFonts w:hint="default" w:ascii="Times New Roman" w:hAnsi="Times New Roman" w:eastAsia="Segoe UI" w:cs="Times New Roman"/>
                <w:b w:val="0"/>
                <w:i w:val="0"/>
                <w:iCs w:val="0"/>
                <w:caps w:val="0"/>
                <w:color w:val="000000"/>
                <w:spacing w:val="0"/>
                <w:kern w:val="0"/>
                <w:sz w:val="24"/>
                <w:szCs w:val="24"/>
                <w:highlight w:val="none"/>
                <w:lang w:val="en-US" w:eastAsia="zh-CN" w:bidi="ar"/>
              </w:rPr>
              <w:t>应满足施工阶段实现能源资源数据统计分析和评价碳排放水平的要求。</w:t>
            </w:r>
          </w:p>
        </w:tc>
        <w:tc>
          <w:tcPr>
            <w:tcW w:w="7625" w:type="dxa"/>
            <w:vMerge w:val="continue"/>
            <w:tcBorders>
              <w:left w:val="single" w:color="000000" w:sz="4" w:space="0"/>
              <w:bottom w:val="single" w:color="000000" w:sz="4" w:space="0"/>
              <w:right w:val="single" w:color="000000" w:sz="4" w:space="0"/>
            </w:tcBorders>
            <w:shd w:val="clear" w:color="auto" w:fill="FFFFFF"/>
            <w:vAlign w:val="center"/>
          </w:tcPr>
          <w:p w14:paraId="4A6D0680">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Segoe UI" w:cs="Times New Roman"/>
                <w:b w:val="0"/>
                <w:i w:val="0"/>
                <w:iCs w:val="0"/>
                <w:caps w:val="0"/>
                <w:color w:val="000000"/>
                <w:spacing w:val="0"/>
                <w:kern w:val="0"/>
                <w:sz w:val="24"/>
                <w:szCs w:val="24"/>
                <w:highlight w:val="none"/>
                <w:lang w:val="en-US" w:eastAsia="zh-CN" w:bidi="ar"/>
              </w:rPr>
            </w:pPr>
          </w:p>
        </w:tc>
      </w:tr>
      <w:tr w14:paraId="3CB3DAA9">
        <w:tblPrEx>
          <w:tblBorders>
            <w:top w:val="single" w:color="auto" w:sz="6" w:space="0"/>
            <w:left w:val="single" w:color="auto" w:sz="2" w:space="0"/>
            <w:bottom w:val="single" w:color="auto" w:sz="2" w:space="0"/>
            <w:right w:val="single" w:color="auto" w:sz="2" w:space="0"/>
            <w:insideH w:val="none" w:color="auto" w:sz="0" w:space="0"/>
            <w:insideV w:val="none" w:color="auto" w:sz="0" w:space="0"/>
          </w:tblBorders>
          <w:shd w:val="clear" w:color="auto" w:fill="FFFFFF"/>
          <w:tblCellMar>
            <w:top w:w="80" w:type="dxa"/>
            <w:left w:w="128" w:type="dxa"/>
            <w:bottom w:w="80" w:type="dxa"/>
            <w:right w:w="128" w:type="dxa"/>
          </w:tblCellMar>
        </w:tblPrEx>
        <w:trPr>
          <w:trHeight w:val="0" w:hRule="atLeast"/>
          <w:jc w:val="center"/>
        </w:trPr>
        <w:tc>
          <w:tcPr>
            <w:tcW w:w="2364" w:type="dxa"/>
            <w:vMerge w:val="continue"/>
            <w:tcBorders>
              <w:left w:val="single" w:color="000000" w:sz="4" w:space="0"/>
              <w:right w:val="single" w:color="000000" w:sz="4" w:space="0"/>
            </w:tcBorders>
            <w:shd w:val="clear" w:color="auto" w:fill="FFFFFF"/>
            <w:vAlign w:val="center"/>
          </w:tcPr>
          <w:p w14:paraId="0E9A31D2">
            <w:pPr>
              <w:keepNext w:val="0"/>
              <w:keepLines w:val="0"/>
              <w:widowControl/>
              <w:suppressLineNumbers w:val="0"/>
              <w:snapToGrid w:val="0"/>
              <w:spacing w:before="0" w:beforeAutospacing="0" w:after="0" w:afterAutospacing="0" w:line="420" w:lineRule="atLeast"/>
              <w:ind w:left="0" w:leftChars="0" w:right="0" w:rightChars="0" w:firstLine="0" w:firstLineChars="0"/>
              <w:jc w:val="left"/>
              <w:rPr>
                <w:rFonts w:hint="default" w:ascii="Times New Roman" w:hAnsi="Times New Roman" w:eastAsia="Segoe UI" w:cs="Times New Roman"/>
                <w:b w:val="0"/>
                <w:i w:val="0"/>
                <w:iCs w:val="0"/>
                <w:caps w:val="0"/>
                <w:color w:val="000000"/>
                <w:spacing w:val="0"/>
                <w:kern w:val="2"/>
                <w:sz w:val="24"/>
                <w:szCs w:val="24"/>
                <w:highlight w:val="none"/>
                <w:lang w:val="en-US" w:eastAsia="zh-CN" w:bidi="ar-SA"/>
              </w:rPr>
            </w:pPr>
          </w:p>
        </w:tc>
        <w:tc>
          <w:tcPr>
            <w:tcW w:w="41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882C5E4">
            <w:pPr>
              <w:keepNext w:val="0"/>
              <w:keepLines w:val="0"/>
              <w:widowControl/>
              <w:suppressLineNumbers w:val="0"/>
              <w:snapToGrid w:val="0"/>
              <w:spacing w:before="0" w:beforeAutospacing="0" w:after="0" w:afterAutospacing="0" w:line="420" w:lineRule="atLeast"/>
              <w:ind w:left="0" w:leftChars="0" w:right="0" w:rightChars="0" w:firstLine="0" w:firstLineChars="0"/>
              <w:jc w:val="left"/>
              <w:rPr>
                <w:rFonts w:hint="default" w:ascii="Times New Roman" w:hAnsi="Times New Roman" w:eastAsia="Segoe UI" w:cs="Times New Roman"/>
                <w:b w:val="0"/>
                <w:i w:val="0"/>
                <w:iCs w:val="0"/>
                <w:caps w:val="0"/>
                <w:color w:val="000000"/>
                <w:spacing w:val="0"/>
                <w:kern w:val="2"/>
                <w:sz w:val="24"/>
                <w:szCs w:val="24"/>
                <w:highlight w:val="none"/>
                <w:lang w:val="en-US" w:eastAsia="zh-CN" w:bidi="ar-SA"/>
              </w:rPr>
            </w:pPr>
            <w:r>
              <w:rPr>
                <w:rFonts w:hint="default" w:ascii="Times New Roman" w:hAnsi="Times New Roman" w:eastAsia="Segoe UI" w:cs="Times New Roman"/>
                <w:b w:val="0"/>
                <w:i w:val="0"/>
                <w:iCs w:val="0"/>
                <w:caps w:val="0"/>
                <w:color w:val="000000"/>
                <w:spacing w:val="0"/>
                <w:kern w:val="2"/>
                <w:sz w:val="24"/>
                <w:szCs w:val="24"/>
                <w:highlight w:val="none"/>
                <w:lang w:val="en-US" w:eastAsia="zh-CN" w:bidi="ar-SA"/>
              </w:rPr>
              <w:t>5.1.</w:t>
            </w:r>
            <w:r>
              <w:rPr>
                <w:rFonts w:hint="eastAsia" w:ascii="Times New Roman" w:hAnsi="Times New Roman" w:eastAsia="Segoe UI" w:cs="Times New Roman"/>
                <w:b w:val="0"/>
                <w:i w:val="0"/>
                <w:iCs w:val="0"/>
                <w:caps w:val="0"/>
                <w:color w:val="000000"/>
                <w:spacing w:val="0"/>
                <w:kern w:val="2"/>
                <w:sz w:val="24"/>
                <w:szCs w:val="24"/>
                <w:highlight w:val="none"/>
                <w:lang w:val="en-US" w:eastAsia="zh-CN" w:bidi="ar-SA"/>
              </w:rPr>
              <w:t>5</w:t>
            </w:r>
            <w:r>
              <w:rPr>
                <w:rFonts w:hint="default" w:ascii="Times New Roman" w:hAnsi="Times New Roman" w:eastAsia="Segoe UI" w:cs="Times New Roman"/>
                <w:b w:val="0"/>
                <w:i w:val="0"/>
                <w:iCs w:val="0"/>
                <w:caps w:val="0"/>
                <w:color w:val="000000"/>
                <w:spacing w:val="0"/>
                <w:kern w:val="2"/>
                <w:sz w:val="24"/>
                <w:szCs w:val="24"/>
                <w:highlight w:val="none"/>
                <w:lang w:val="en-US" w:eastAsia="zh-CN" w:bidi="ar-SA"/>
              </w:rPr>
              <w:t>具备条件的施工项目宜配备智能化、具有远程传输与建筑能耗监测系统联网及在线校准功能的碳计量器具。</w:t>
            </w:r>
          </w:p>
        </w:tc>
        <w:tc>
          <w:tcPr>
            <w:tcW w:w="762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EF62591">
            <w:pPr>
              <w:keepNext w:val="0"/>
              <w:keepLines w:val="0"/>
              <w:widowControl/>
              <w:suppressLineNumbers w:val="0"/>
              <w:snapToGrid w:val="0"/>
              <w:spacing w:before="0" w:beforeAutospacing="0" w:after="0" w:afterAutospacing="0" w:line="420" w:lineRule="atLeast"/>
              <w:ind w:left="0" w:leftChars="0" w:right="0" w:rightChars="0" w:firstLine="0" w:firstLineChars="0"/>
              <w:jc w:val="left"/>
              <w:rPr>
                <w:rFonts w:hint="default" w:ascii="Times New Roman" w:hAnsi="Times New Roman" w:eastAsia="Segoe UI" w:cs="Times New Roman"/>
                <w:b w:val="0"/>
                <w:i w:val="0"/>
                <w:iCs w:val="0"/>
                <w:caps w:val="0"/>
                <w:color w:val="000000"/>
                <w:spacing w:val="0"/>
                <w:kern w:val="2"/>
                <w:sz w:val="24"/>
                <w:szCs w:val="24"/>
                <w:highlight w:val="none"/>
                <w:lang w:val="en-US" w:eastAsia="zh-CN" w:bidi="ar-SA"/>
              </w:rPr>
            </w:pPr>
            <w:r>
              <w:rPr>
                <w:rFonts w:hint="default" w:ascii="Times New Roman" w:hAnsi="Times New Roman" w:eastAsia="Segoe UI" w:cs="Times New Roman"/>
                <w:b w:val="0"/>
                <w:i w:val="0"/>
                <w:iCs w:val="0"/>
                <w:caps w:val="0"/>
                <w:color w:val="000000"/>
                <w:spacing w:val="0"/>
                <w:kern w:val="2"/>
                <w:sz w:val="24"/>
                <w:szCs w:val="24"/>
                <w:highlight w:val="none"/>
                <w:lang w:val="en-US" w:eastAsia="zh-CN" w:bidi="ar-SA"/>
              </w:rPr>
              <w:t>智能电表、智能流量计均支持4G远程传输，数据实时同步至智慧工地平台（网址：https://wisdomsite.ticdata.cn），且预留在线校准接口。</w:t>
            </w:r>
          </w:p>
        </w:tc>
      </w:tr>
      <w:tr w14:paraId="48BC5AF2">
        <w:tblPrEx>
          <w:tblBorders>
            <w:top w:val="single" w:color="auto" w:sz="6" w:space="0"/>
            <w:left w:val="single" w:color="auto" w:sz="2" w:space="0"/>
            <w:bottom w:val="single" w:color="auto" w:sz="2" w:space="0"/>
            <w:right w:val="single" w:color="auto" w:sz="2" w:space="0"/>
            <w:insideH w:val="none" w:color="auto" w:sz="0" w:space="0"/>
            <w:insideV w:val="none" w:color="auto" w:sz="0" w:space="0"/>
          </w:tblBorders>
          <w:shd w:val="clear" w:color="auto" w:fill="FFFFFF"/>
          <w:tblCellMar>
            <w:top w:w="80" w:type="dxa"/>
            <w:left w:w="128" w:type="dxa"/>
            <w:bottom w:w="80" w:type="dxa"/>
            <w:right w:w="128" w:type="dxa"/>
          </w:tblCellMar>
        </w:tblPrEx>
        <w:trPr>
          <w:trHeight w:val="0" w:hRule="atLeast"/>
          <w:jc w:val="center"/>
        </w:trPr>
        <w:tc>
          <w:tcPr>
            <w:tcW w:w="2364" w:type="dxa"/>
            <w:vMerge w:val="continue"/>
            <w:tcBorders>
              <w:left w:val="single" w:color="000000" w:sz="4" w:space="0"/>
              <w:right w:val="single" w:color="000000" w:sz="4" w:space="0"/>
            </w:tcBorders>
            <w:shd w:val="clear" w:color="auto" w:fill="FFFFFF"/>
            <w:vAlign w:val="center"/>
          </w:tcPr>
          <w:p w14:paraId="74C1E8E9">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Segoe UI" w:cs="Times New Roman"/>
                <w:b w:val="0"/>
                <w:i w:val="0"/>
                <w:iCs w:val="0"/>
                <w:caps w:val="0"/>
                <w:color w:val="000000"/>
                <w:spacing w:val="0"/>
                <w:sz w:val="24"/>
                <w:szCs w:val="24"/>
                <w:highlight w:val="none"/>
              </w:rPr>
            </w:pPr>
          </w:p>
        </w:tc>
        <w:tc>
          <w:tcPr>
            <w:tcW w:w="41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E94B71C">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宋体" w:cs="Times New Roman"/>
                <w:b w:val="0"/>
                <w:i w:val="0"/>
                <w:iCs w:val="0"/>
                <w:caps w:val="0"/>
                <w:color w:val="000000"/>
                <w:spacing w:val="0"/>
                <w:sz w:val="24"/>
                <w:szCs w:val="24"/>
                <w:highlight w:val="none"/>
                <w:lang w:eastAsia="zh-CN"/>
              </w:rPr>
            </w:pPr>
            <w:r>
              <w:rPr>
                <w:rFonts w:hint="default" w:ascii="Times New Roman" w:hAnsi="Times New Roman" w:eastAsia="Segoe UI" w:cs="Times New Roman"/>
                <w:b w:val="0"/>
                <w:i w:val="0"/>
                <w:iCs w:val="0"/>
                <w:caps w:val="0"/>
                <w:color w:val="000000"/>
                <w:spacing w:val="0"/>
                <w:sz w:val="24"/>
                <w:szCs w:val="24"/>
                <w:highlight w:val="none"/>
              </w:rPr>
              <w:t>5.1.</w:t>
            </w:r>
            <w:r>
              <w:rPr>
                <w:rFonts w:hint="eastAsia" w:ascii="Times New Roman" w:hAnsi="Times New Roman" w:eastAsia="宋体" w:cs="Times New Roman"/>
                <w:b w:val="0"/>
                <w:i w:val="0"/>
                <w:iCs w:val="0"/>
                <w:caps w:val="0"/>
                <w:color w:val="000000"/>
                <w:spacing w:val="0"/>
                <w:sz w:val="24"/>
                <w:szCs w:val="24"/>
                <w:highlight w:val="none"/>
                <w:lang w:val="en-US" w:eastAsia="zh-CN"/>
              </w:rPr>
              <w:t>6</w:t>
            </w:r>
            <w:r>
              <w:rPr>
                <w:rFonts w:hint="default" w:ascii="Times New Roman" w:hAnsi="Times New Roman" w:eastAsia="Segoe UI" w:cs="Times New Roman"/>
                <w:b w:val="0"/>
                <w:i w:val="0"/>
                <w:iCs w:val="0"/>
                <w:caps w:val="0"/>
                <w:color w:val="000000"/>
                <w:spacing w:val="0"/>
                <w:sz w:val="24"/>
                <w:szCs w:val="24"/>
                <w:highlight w:val="none"/>
              </w:rPr>
              <w:t>计量器具选型应适应施工环境，满足现场要求的IP防护等级，量程覆盖被测参数的正常波动范围。安装过程应符合国家和行业标准，避免计量数据受管道布置、安装倾斜度等因素影响</w:t>
            </w:r>
            <w:r>
              <w:rPr>
                <w:rFonts w:hint="default" w:ascii="Times New Roman" w:hAnsi="Times New Roman" w:eastAsia="宋体" w:cs="Times New Roman"/>
                <w:b w:val="0"/>
                <w:i w:val="0"/>
                <w:iCs w:val="0"/>
                <w:caps w:val="0"/>
                <w:color w:val="000000"/>
                <w:spacing w:val="0"/>
                <w:sz w:val="24"/>
                <w:szCs w:val="24"/>
                <w:highlight w:val="none"/>
                <w:lang w:eastAsia="zh-CN"/>
              </w:rPr>
              <w:t>。</w:t>
            </w:r>
          </w:p>
        </w:tc>
        <w:tc>
          <w:tcPr>
            <w:tcW w:w="762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2AC1AAF">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宋体" w:cs="Times New Roman"/>
                <w:b w:val="0"/>
                <w:i w:val="0"/>
                <w:iCs w:val="0"/>
                <w:caps w:val="0"/>
                <w:color w:val="000000"/>
                <w:spacing w:val="0"/>
                <w:sz w:val="24"/>
                <w:szCs w:val="24"/>
                <w:highlight w:val="none"/>
                <w:lang w:val="en-US" w:eastAsia="zh-CN"/>
              </w:rPr>
            </w:pPr>
            <w:r>
              <w:rPr>
                <w:rFonts w:hint="default" w:ascii="Times New Roman" w:hAnsi="Times New Roman" w:eastAsia="Segoe UI" w:cs="Times New Roman"/>
                <w:b w:val="0"/>
                <w:i w:val="0"/>
                <w:iCs w:val="0"/>
                <w:caps w:val="0"/>
                <w:color w:val="000000"/>
                <w:spacing w:val="0"/>
                <w:sz w:val="24"/>
                <w:szCs w:val="24"/>
                <w:highlight w:val="none"/>
              </w:rPr>
              <w:t>器具选型符合IP65防护等级（适应施工扬尘、雨水环境），电表安装符合《电力计量装置安装规程》，避免管道震动、阳光直射影响数据</w:t>
            </w:r>
            <w:r>
              <w:rPr>
                <w:rFonts w:hint="default" w:ascii="Times New Roman" w:hAnsi="Times New Roman" w:eastAsia="宋体" w:cs="Times New Roman"/>
                <w:b w:val="0"/>
                <w:i w:val="0"/>
                <w:iCs w:val="0"/>
                <w:caps w:val="0"/>
                <w:color w:val="000000"/>
                <w:spacing w:val="0"/>
                <w:sz w:val="24"/>
                <w:szCs w:val="24"/>
                <w:highlight w:val="none"/>
                <w:lang w:eastAsia="zh-CN"/>
              </w:rPr>
              <w:t>。</w:t>
            </w:r>
          </w:p>
        </w:tc>
      </w:tr>
      <w:tr w14:paraId="4C51E4B7">
        <w:tblPrEx>
          <w:tblBorders>
            <w:top w:val="single" w:color="auto" w:sz="6" w:space="0"/>
            <w:left w:val="single" w:color="auto" w:sz="2" w:space="0"/>
            <w:bottom w:val="single" w:color="auto" w:sz="2" w:space="0"/>
            <w:right w:val="single" w:color="auto" w:sz="2" w:space="0"/>
            <w:insideH w:val="none" w:color="auto" w:sz="0" w:space="0"/>
            <w:insideV w:val="none" w:color="auto" w:sz="0" w:space="0"/>
          </w:tblBorders>
          <w:shd w:val="clear" w:color="auto" w:fill="FFFFFF"/>
          <w:tblCellMar>
            <w:top w:w="80" w:type="dxa"/>
            <w:left w:w="128" w:type="dxa"/>
            <w:bottom w:w="80" w:type="dxa"/>
            <w:right w:w="128" w:type="dxa"/>
          </w:tblCellMar>
        </w:tblPrEx>
        <w:trPr>
          <w:trHeight w:val="0" w:hRule="atLeast"/>
          <w:jc w:val="center"/>
        </w:trPr>
        <w:tc>
          <w:tcPr>
            <w:tcW w:w="2364" w:type="dxa"/>
            <w:vMerge w:val="continue"/>
            <w:tcBorders>
              <w:left w:val="single" w:color="000000" w:sz="4" w:space="0"/>
              <w:bottom w:val="single" w:color="000000" w:sz="4" w:space="0"/>
              <w:right w:val="single" w:color="000000" w:sz="4" w:space="0"/>
            </w:tcBorders>
            <w:shd w:val="clear" w:color="auto" w:fill="FFFFFF"/>
            <w:vAlign w:val="center"/>
          </w:tcPr>
          <w:p w14:paraId="382DE370">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Segoe UI" w:cs="Times New Roman"/>
                <w:b w:val="0"/>
                <w:i w:val="0"/>
                <w:iCs w:val="0"/>
                <w:caps w:val="0"/>
                <w:color w:val="000000"/>
                <w:spacing w:val="0"/>
                <w:sz w:val="24"/>
                <w:szCs w:val="24"/>
                <w:highlight w:val="none"/>
              </w:rPr>
            </w:pPr>
          </w:p>
        </w:tc>
        <w:tc>
          <w:tcPr>
            <w:tcW w:w="41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4CF56A9">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Segoe UI" w:cs="Times New Roman"/>
                <w:b w:val="0"/>
                <w:i w:val="0"/>
                <w:iCs w:val="0"/>
                <w:caps w:val="0"/>
                <w:color w:val="000000"/>
                <w:spacing w:val="0"/>
                <w:sz w:val="24"/>
                <w:szCs w:val="24"/>
                <w:highlight w:val="none"/>
              </w:rPr>
            </w:pPr>
            <w:r>
              <w:rPr>
                <w:rFonts w:hint="default" w:ascii="Times New Roman" w:hAnsi="Times New Roman" w:eastAsia="Segoe UI" w:cs="Times New Roman"/>
                <w:b w:val="0"/>
                <w:i w:val="0"/>
                <w:iCs w:val="0"/>
                <w:caps w:val="0"/>
                <w:color w:val="000000"/>
                <w:spacing w:val="0"/>
                <w:sz w:val="24"/>
                <w:szCs w:val="24"/>
                <w:highlight w:val="none"/>
              </w:rPr>
              <w:t>5.1.</w:t>
            </w:r>
            <w:r>
              <w:rPr>
                <w:rFonts w:hint="eastAsia" w:ascii="Times New Roman" w:hAnsi="Times New Roman" w:eastAsia="宋体" w:cs="Times New Roman"/>
                <w:b w:val="0"/>
                <w:i w:val="0"/>
                <w:iCs w:val="0"/>
                <w:caps w:val="0"/>
                <w:color w:val="000000"/>
                <w:spacing w:val="0"/>
                <w:sz w:val="24"/>
                <w:szCs w:val="24"/>
                <w:highlight w:val="none"/>
                <w:lang w:val="en-US" w:eastAsia="zh-CN"/>
              </w:rPr>
              <w:t>7</w:t>
            </w:r>
            <w:r>
              <w:rPr>
                <w:rFonts w:hint="default" w:ascii="Times New Roman" w:hAnsi="Times New Roman" w:eastAsia="Segoe UI" w:cs="Times New Roman"/>
                <w:b w:val="0"/>
                <w:i w:val="0"/>
                <w:iCs w:val="0"/>
                <w:caps w:val="0"/>
                <w:color w:val="000000"/>
                <w:spacing w:val="0"/>
                <w:sz w:val="24"/>
                <w:szCs w:val="24"/>
                <w:highlight w:val="none"/>
              </w:rPr>
              <w:t>在满足碳排放计量基本需求的前提下，可根据项目特点、碳排放规模及管理精细度要求，实行分级配备。优先对碳排放量大、易计量的源流配备计量器具，确保核心排放数据可获取、可追溯。</w:t>
            </w:r>
          </w:p>
        </w:tc>
        <w:tc>
          <w:tcPr>
            <w:tcW w:w="762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FF92EAB">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Segoe UI" w:cs="Times New Roman"/>
                <w:b w:val="0"/>
                <w:i w:val="0"/>
                <w:iCs w:val="0"/>
                <w:caps w:val="0"/>
                <w:color w:val="000000"/>
                <w:spacing w:val="0"/>
                <w:sz w:val="24"/>
                <w:szCs w:val="24"/>
                <w:highlight w:val="none"/>
              </w:rPr>
            </w:pPr>
            <w:r>
              <w:rPr>
                <w:rFonts w:hint="default" w:ascii="Times New Roman" w:hAnsi="Times New Roman" w:eastAsia="宋体" w:cs="Times New Roman"/>
                <w:b w:val="0"/>
                <w:i w:val="0"/>
                <w:iCs w:val="0"/>
                <w:caps w:val="0"/>
                <w:color w:val="000000"/>
                <w:spacing w:val="0"/>
                <w:sz w:val="24"/>
                <w:szCs w:val="24"/>
                <w:highlight w:val="none"/>
                <w:lang w:val="en-US" w:eastAsia="zh-CN"/>
              </w:rPr>
              <w:t>实行</w:t>
            </w:r>
            <w:r>
              <w:rPr>
                <w:rFonts w:hint="default" w:ascii="Times New Roman" w:hAnsi="Times New Roman" w:eastAsia="Segoe UI" w:cs="Times New Roman"/>
                <w:b w:val="0"/>
                <w:i w:val="0"/>
                <w:iCs w:val="0"/>
                <w:caps w:val="0"/>
                <w:color w:val="000000"/>
                <w:spacing w:val="0"/>
                <w:sz w:val="24"/>
                <w:szCs w:val="24"/>
                <w:highlight w:val="none"/>
              </w:rPr>
              <w:t>分级配备</w:t>
            </w:r>
            <w:r>
              <w:rPr>
                <w:rFonts w:hint="default" w:ascii="Times New Roman" w:hAnsi="Times New Roman" w:eastAsia="宋体" w:cs="Times New Roman"/>
                <w:b w:val="0"/>
                <w:i w:val="0"/>
                <w:iCs w:val="0"/>
                <w:caps w:val="0"/>
                <w:color w:val="000000"/>
                <w:spacing w:val="0"/>
                <w:sz w:val="24"/>
                <w:szCs w:val="24"/>
                <w:highlight w:val="none"/>
                <w:lang w:eastAsia="zh-CN"/>
              </w:rPr>
              <w:t>，</w:t>
            </w:r>
            <w:r>
              <w:rPr>
                <w:rFonts w:hint="default" w:ascii="Times New Roman" w:hAnsi="Times New Roman" w:eastAsia="Segoe UI" w:cs="Times New Roman"/>
                <w:b w:val="0"/>
                <w:i w:val="0"/>
                <w:iCs w:val="0"/>
                <w:caps w:val="0"/>
                <w:color w:val="000000"/>
                <w:spacing w:val="0"/>
                <w:sz w:val="24"/>
                <w:szCs w:val="24"/>
                <w:highlight w:val="none"/>
              </w:rPr>
              <w:t>优先对塔吊、挖掘机等碳排放量大的设备</w:t>
            </w:r>
            <w:r>
              <w:rPr>
                <w:rFonts w:hint="default" w:ascii="Times New Roman" w:hAnsi="Times New Roman" w:eastAsia="宋体" w:cs="Times New Roman"/>
                <w:b w:val="0"/>
                <w:i w:val="0"/>
                <w:iCs w:val="0"/>
                <w:caps w:val="0"/>
                <w:color w:val="000000"/>
                <w:spacing w:val="0"/>
                <w:sz w:val="24"/>
                <w:szCs w:val="24"/>
                <w:highlight w:val="none"/>
                <w:lang w:val="en-US" w:eastAsia="zh-CN"/>
              </w:rPr>
              <w:t>配备单独的</w:t>
            </w:r>
            <w:r>
              <w:rPr>
                <w:rFonts w:hint="default" w:ascii="Times New Roman" w:hAnsi="Times New Roman" w:eastAsia="Segoe UI" w:cs="Times New Roman"/>
                <w:b w:val="0"/>
                <w:i w:val="0"/>
                <w:iCs w:val="0"/>
                <w:caps w:val="0"/>
                <w:color w:val="000000"/>
                <w:spacing w:val="0"/>
                <w:sz w:val="24"/>
                <w:szCs w:val="24"/>
                <w:highlight w:val="none"/>
              </w:rPr>
              <w:t>计量器具。</w:t>
            </w:r>
          </w:p>
        </w:tc>
      </w:tr>
      <w:tr w14:paraId="134D45E6">
        <w:tblPrEx>
          <w:tblBorders>
            <w:top w:val="single" w:color="auto" w:sz="6" w:space="0"/>
            <w:left w:val="single" w:color="auto" w:sz="2" w:space="0"/>
            <w:bottom w:val="single" w:color="auto" w:sz="2" w:space="0"/>
            <w:right w:val="single" w:color="auto" w:sz="2" w:space="0"/>
            <w:insideH w:val="none" w:color="auto" w:sz="0" w:space="0"/>
            <w:insideV w:val="none" w:color="auto" w:sz="0" w:space="0"/>
          </w:tblBorders>
          <w:tblCellMar>
            <w:top w:w="80" w:type="dxa"/>
            <w:left w:w="128" w:type="dxa"/>
            <w:bottom w:w="80" w:type="dxa"/>
            <w:right w:w="128" w:type="dxa"/>
          </w:tblCellMar>
        </w:tblPrEx>
        <w:trPr>
          <w:trHeight w:val="0" w:hRule="atLeast"/>
          <w:jc w:val="center"/>
        </w:trPr>
        <w:tc>
          <w:tcPr>
            <w:tcW w:w="14174" w:type="dxa"/>
            <w:gridSpan w:val="3"/>
            <w:tcBorders>
              <w:top w:val="single" w:color="000000" w:sz="4" w:space="0"/>
              <w:left w:val="single" w:color="000000" w:sz="4" w:space="0"/>
              <w:bottom w:val="single" w:color="auto" w:sz="4" w:space="0"/>
              <w:right w:val="single" w:color="000000" w:sz="4" w:space="0"/>
            </w:tcBorders>
            <w:shd w:val="clear" w:color="auto" w:fill="FFFFFF"/>
            <w:vAlign w:val="center"/>
          </w:tcPr>
          <w:p w14:paraId="030EC7CD">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Segoe UI" w:cs="Times New Roman"/>
                <w:b w:val="0"/>
                <w:i w:val="0"/>
                <w:iCs w:val="0"/>
                <w:caps w:val="0"/>
                <w:color w:val="000000"/>
                <w:spacing w:val="0"/>
                <w:sz w:val="24"/>
                <w:szCs w:val="24"/>
                <w:highlight w:val="none"/>
              </w:rPr>
            </w:pPr>
            <w:r>
              <w:rPr>
                <w:rFonts w:hint="default" w:ascii="Times New Roman" w:hAnsi="Times New Roman" w:eastAsia="Segoe UI" w:cs="Times New Roman"/>
                <w:b w:val="0"/>
                <w:bCs w:val="0"/>
                <w:i w:val="0"/>
                <w:iCs w:val="0"/>
                <w:caps w:val="0"/>
                <w:color w:val="000000"/>
                <w:spacing w:val="0"/>
                <w:sz w:val="24"/>
                <w:szCs w:val="24"/>
                <w:highlight w:val="none"/>
              </w:rPr>
              <w:t>5.2 计量器具的配备要求</w:t>
            </w:r>
          </w:p>
        </w:tc>
      </w:tr>
      <w:tr w14:paraId="28661265">
        <w:tblPrEx>
          <w:tblBorders>
            <w:top w:val="single" w:color="auto" w:sz="6" w:space="0"/>
            <w:left w:val="single" w:color="auto" w:sz="2" w:space="0"/>
            <w:bottom w:val="single" w:color="auto" w:sz="2" w:space="0"/>
            <w:right w:val="single" w:color="auto" w:sz="2" w:space="0"/>
            <w:insideH w:val="none" w:color="auto" w:sz="0" w:space="0"/>
            <w:insideV w:val="none" w:color="auto" w:sz="0" w:space="0"/>
          </w:tblBorders>
          <w:tblCellMar>
            <w:top w:w="80" w:type="dxa"/>
            <w:left w:w="128" w:type="dxa"/>
            <w:bottom w:w="80" w:type="dxa"/>
            <w:right w:w="128" w:type="dxa"/>
          </w:tblCellMar>
        </w:tblPrEx>
        <w:trPr>
          <w:trHeight w:val="0" w:hRule="atLeast"/>
          <w:jc w:val="center"/>
        </w:trPr>
        <w:tc>
          <w:tcPr>
            <w:tcW w:w="2364" w:type="dxa"/>
            <w:tcBorders>
              <w:top w:val="single" w:color="auto" w:sz="4" w:space="0"/>
              <w:left w:val="single" w:color="auto" w:sz="4" w:space="0"/>
              <w:bottom w:val="single" w:color="auto" w:sz="4" w:space="0"/>
              <w:right w:val="single" w:color="auto" w:sz="4" w:space="0"/>
            </w:tcBorders>
            <w:shd w:val="clear" w:color="auto" w:fill="FFFFFF"/>
            <w:vAlign w:val="center"/>
          </w:tcPr>
          <w:p w14:paraId="45E9EDE4">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Segoe UI" w:cs="Times New Roman"/>
                <w:b w:val="0"/>
                <w:i w:val="0"/>
                <w:iCs w:val="0"/>
                <w:caps w:val="0"/>
                <w:color w:val="000000"/>
                <w:spacing w:val="0"/>
                <w:sz w:val="24"/>
                <w:szCs w:val="24"/>
                <w:highlight w:val="none"/>
              </w:rPr>
            </w:pPr>
            <w:r>
              <w:rPr>
                <w:rFonts w:hint="default" w:ascii="Times New Roman" w:hAnsi="Times New Roman" w:eastAsia="Segoe UI" w:cs="Times New Roman"/>
                <w:b w:val="0"/>
                <w:i w:val="0"/>
                <w:iCs w:val="0"/>
                <w:caps w:val="0"/>
                <w:color w:val="000000"/>
                <w:spacing w:val="0"/>
                <w:sz w:val="24"/>
                <w:szCs w:val="24"/>
                <w:highlight w:val="none"/>
              </w:rPr>
              <w:t>5.2.1 分类计量</w:t>
            </w:r>
          </w:p>
        </w:tc>
        <w:tc>
          <w:tcPr>
            <w:tcW w:w="4185" w:type="dxa"/>
            <w:tcBorders>
              <w:top w:val="single" w:color="auto" w:sz="4" w:space="0"/>
              <w:left w:val="single" w:color="auto" w:sz="4" w:space="0"/>
              <w:bottom w:val="single" w:color="auto" w:sz="4" w:space="0"/>
              <w:right w:val="single" w:color="auto" w:sz="4" w:space="0"/>
            </w:tcBorders>
            <w:shd w:val="clear" w:color="auto" w:fill="FFFFFF"/>
            <w:vAlign w:val="center"/>
          </w:tcPr>
          <w:p w14:paraId="1942E314">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Segoe UI" w:cs="Times New Roman"/>
                <w:b w:val="0"/>
                <w:i w:val="0"/>
                <w:iCs w:val="0"/>
                <w:caps w:val="0"/>
                <w:color w:val="000000"/>
                <w:spacing w:val="0"/>
                <w:sz w:val="24"/>
                <w:szCs w:val="24"/>
                <w:highlight w:val="none"/>
              </w:rPr>
            </w:pPr>
            <w:r>
              <w:rPr>
                <w:rFonts w:hint="default" w:ascii="Times New Roman" w:hAnsi="Times New Roman" w:eastAsia="Segoe UI" w:cs="Times New Roman"/>
                <w:b w:val="0"/>
                <w:i w:val="0"/>
                <w:iCs w:val="0"/>
                <w:caps w:val="0"/>
                <w:color w:val="000000"/>
                <w:spacing w:val="0"/>
                <w:sz w:val="24"/>
                <w:szCs w:val="24"/>
                <w:highlight w:val="none"/>
              </w:rPr>
              <w:t>建筑施工阶段碳排放来源应包括施工现场的各类能源、资源消耗，不同类型的能源、资源应加装各自的计量器具。两个或两个以上在同一施工现场或同一个项目不同现场内的施工环节，其各类能源资源应分别计量。</w:t>
            </w:r>
          </w:p>
        </w:tc>
        <w:tc>
          <w:tcPr>
            <w:tcW w:w="7625" w:type="dxa"/>
            <w:tcBorders>
              <w:top w:val="single" w:color="auto" w:sz="4" w:space="0"/>
              <w:left w:val="single" w:color="auto" w:sz="4" w:space="0"/>
              <w:bottom w:val="single" w:color="auto" w:sz="4" w:space="0"/>
              <w:right w:val="single" w:color="auto" w:sz="4" w:space="0"/>
            </w:tcBorders>
            <w:shd w:val="clear" w:color="auto" w:fill="FFFFFF"/>
            <w:vAlign w:val="center"/>
          </w:tcPr>
          <w:p w14:paraId="12A9BF52">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Segoe UI" w:cs="Times New Roman"/>
                <w:b w:val="0"/>
                <w:i w:val="0"/>
                <w:iCs w:val="0"/>
                <w:caps w:val="0"/>
                <w:color w:val="000000"/>
                <w:spacing w:val="0"/>
                <w:sz w:val="24"/>
                <w:szCs w:val="24"/>
                <w:highlight w:val="none"/>
              </w:rPr>
            </w:pPr>
            <w:r>
              <w:rPr>
                <w:rFonts w:hint="default" w:ascii="Times New Roman" w:hAnsi="Times New Roman" w:eastAsia="Segoe UI" w:cs="Times New Roman"/>
                <w:b w:val="0"/>
                <w:i w:val="0"/>
                <w:iCs w:val="0"/>
                <w:caps w:val="0"/>
                <w:color w:val="000000"/>
                <w:spacing w:val="0"/>
                <w:sz w:val="24"/>
                <w:szCs w:val="24"/>
                <w:highlight w:val="none"/>
              </w:rPr>
              <w:t>1.分类计量：电力用电子式三相预付费电能表（0.03级）、柴油用涡轮流量计（0.5级）、水资源用智能水表（2级），各类能源器具独立，无混用；</w:t>
            </w:r>
          </w:p>
          <w:p w14:paraId="3AF7AFFA">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Segoe UI" w:cs="Times New Roman"/>
                <w:b w:val="0"/>
                <w:i w:val="0"/>
                <w:iCs w:val="0"/>
                <w:caps w:val="0"/>
                <w:color w:val="000000"/>
                <w:spacing w:val="0"/>
                <w:sz w:val="24"/>
                <w:szCs w:val="24"/>
                <w:highlight w:val="none"/>
              </w:rPr>
            </w:pPr>
            <w:r>
              <w:rPr>
                <w:rFonts w:hint="default" w:ascii="Times New Roman" w:hAnsi="Times New Roman" w:eastAsia="Segoe UI" w:cs="Times New Roman"/>
                <w:b w:val="0"/>
                <w:i w:val="0"/>
                <w:iCs w:val="0"/>
                <w:caps w:val="0"/>
                <w:color w:val="000000"/>
                <w:spacing w:val="0"/>
                <w:sz w:val="24"/>
                <w:szCs w:val="24"/>
                <w:highlight w:val="none"/>
              </w:rPr>
              <w:t>2.分环节计量：主体结构施工与装饰装修阶段的电力消耗分别通过不同</w:t>
            </w:r>
            <w:r>
              <w:rPr>
                <w:rFonts w:hint="default" w:ascii="Times New Roman" w:hAnsi="Times New Roman" w:eastAsia="宋体" w:cs="Times New Roman"/>
                <w:b w:val="0"/>
                <w:i w:val="0"/>
                <w:iCs w:val="0"/>
                <w:caps w:val="0"/>
                <w:color w:val="000000"/>
                <w:spacing w:val="0"/>
                <w:sz w:val="24"/>
                <w:szCs w:val="24"/>
                <w:highlight w:val="none"/>
                <w:lang w:val="en-US" w:eastAsia="zh-CN"/>
              </w:rPr>
              <w:t>施工时间开展</w:t>
            </w:r>
            <w:r>
              <w:rPr>
                <w:rFonts w:hint="default" w:ascii="Times New Roman" w:hAnsi="Times New Roman" w:eastAsia="Segoe UI" w:cs="Times New Roman"/>
                <w:b w:val="0"/>
                <w:i w:val="0"/>
                <w:iCs w:val="0"/>
                <w:caps w:val="0"/>
                <w:color w:val="000000"/>
                <w:spacing w:val="0"/>
                <w:sz w:val="24"/>
                <w:szCs w:val="24"/>
                <w:highlight w:val="none"/>
              </w:rPr>
              <w:t>计量；</w:t>
            </w:r>
          </w:p>
          <w:p w14:paraId="3F23D0F5">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Segoe UI" w:cs="Times New Roman"/>
                <w:b w:val="0"/>
                <w:i w:val="0"/>
                <w:iCs w:val="0"/>
                <w:caps w:val="0"/>
                <w:color w:val="000000"/>
                <w:spacing w:val="0"/>
                <w:sz w:val="24"/>
                <w:szCs w:val="24"/>
                <w:highlight w:val="none"/>
              </w:rPr>
            </w:pPr>
            <w:r>
              <w:rPr>
                <w:rFonts w:hint="default" w:ascii="Times New Roman" w:hAnsi="Times New Roman" w:eastAsia="Segoe UI" w:cs="Times New Roman"/>
                <w:b w:val="0"/>
                <w:i w:val="0"/>
                <w:iCs w:val="0"/>
                <w:caps w:val="0"/>
                <w:color w:val="000000"/>
                <w:spacing w:val="0"/>
                <w:sz w:val="24"/>
                <w:szCs w:val="24"/>
                <w:highlight w:val="none"/>
              </w:rPr>
              <w:t>3.准确度达标：所有器具均通过检定（如电能表检定证书号 DN-20210400099），符合附录A中“电能计量装置0.2S-2.0级、液体流量计±0.5%误差”的要求。</w:t>
            </w:r>
          </w:p>
        </w:tc>
      </w:tr>
      <w:tr w14:paraId="5F15FD2A">
        <w:tblPrEx>
          <w:tblBorders>
            <w:top w:val="single" w:color="auto" w:sz="6" w:space="0"/>
            <w:left w:val="single" w:color="auto" w:sz="2" w:space="0"/>
            <w:bottom w:val="single" w:color="auto" w:sz="2" w:space="0"/>
            <w:right w:val="single" w:color="auto" w:sz="2" w:space="0"/>
            <w:insideH w:val="none" w:color="auto" w:sz="0" w:space="0"/>
            <w:insideV w:val="none" w:color="auto" w:sz="0" w:space="0"/>
          </w:tblBorders>
          <w:shd w:val="clear" w:color="auto" w:fill="FFFFFF"/>
          <w:tblCellMar>
            <w:top w:w="80" w:type="dxa"/>
            <w:left w:w="128" w:type="dxa"/>
            <w:bottom w:w="80" w:type="dxa"/>
            <w:right w:w="128" w:type="dxa"/>
          </w:tblCellMar>
        </w:tblPrEx>
        <w:trPr>
          <w:trHeight w:val="0" w:hRule="atLeast"/>
          <w:jc w:val="center"/>
        </w:trPr>
        <w:tc>
          <w:tcPr>
            <w:tcW w:w="2364" w:type="dxa"/>
            <w:vMerge w:val="restart"/>
            <w:tcBorders>
              <w:top w:val="single" w:color="auto" w:sz="4" w:space="0"/>
              <w:left w:val="single" w:color="auto" w:sz="4" w:space="0"/>
              <w:right w:val="single" w:color="auto" w:sz="4" w:space="0"/>
            </w:tcBorders>
            <w:shd w:val="clear" w:color="auto" w:fill="FFFFFF"/>
            <w:vAlign w:val="center"/>
          </w:tcPr>
          <w:p w14:paraId="0213A1AE">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宋体" w:cs="Times New Roman"/>
                <w:b w:val="0"/>
                <w:i w:val="0"/>
                <w:iCs w:val="0"/>
                <w:caps w:val="0"/>
                <w:color w:val="000000"/>
                <w:spacing w:val="0"/>
                <w:sz w:val="24"/>
                <w:szCs w:val="24"/>
                <w:highlight w:val="none"/>
                <w:lang w:val="en-US" w:eastAsia="zh-CN"/>
              </w:rPr>
            </w:pPr>
            <w:r>
              <w:rPr>
                <w:rFonts w:hint="eastAsia" w:ascii="Times New Roman" w:hAnsi="Times New Roman" w:eastAsia="宋体" w:cs="Times New Roman"/>
                <w:b w:val="0"/>
                <w:i w:val="0"/>
                <w:iCs w:val="0"/>
                <w:caps w:val="0"/>
                <w:color w:val="000000"/>
                <w:spacing w:val="0"/>
                <w:sz w:val="24"/>
                <w:szCs w:val="24"/>
                <w:highlight w:val="none"/>
                <w:lang w:val="en-US" w:eastAsia="zh-CN"/>
              </w:rPr>
              <w:t>5.2.2分区计量</w:t>
            </w:r>
          </w:p>
        </w:tc>
        <w:tc>
          <w:tcPr>
            <w:tcW w:w="4185" w:type="dxa"/>
            <w:tcBorders>
              <w:top w:val="single" w:color="auto" w:sz="4" w:space="0"/>
              <w:left w:val="single" w:color="auto" w:sz="4" w:space="0"/>
              <w:bottom w:val="single" w:color="auto" w:sz="4" w:space="0"/>
              <w:right w:val="single" w:color="auto" w:sz="4" w:space="0"/>
            </w:tcBorders>
            <w:shd w:val="clear" w:color="auto" w:fill="FFFFFF"/>
            <w:vAlign w:val="center"/>
          </w:tcPr>
          <w:p w14:paraId="5076DAFF">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Segoe UI" w:cs="Times New Roman"/>
                <w:b w:val="0"/>
                <w:i w:val="0"/>
                <w:iCs w:val="0"/>
                <w:caps w:val="0"/>
                <w:color w:val="000000"/>
                <w:spacing w:val="0"/>
                <w:sz w:val="24"/>
                <w:szCs w:val="24"/>
                <w:highlight w:val="none"/>
              </w:rPr>
            </w:pPr>
            <w:r>
              <w:rPr>
                <w:rFonts w:hint="default" w:ascii="Times New Roman" w:hAnsi="Times New Roman" w:eastAsia="Segoe UI" w:cs="Times New Roman"/>
                <w:b w:val="0"/>
                <w:i w:val="0"/>
                <w:iCs w:val="0"/>
                <w:caps w:val="0"/>
                <w:color w:val="000000"/>
                <w:spacing w:val="0"/>
                <w:sz w:val="24"/>
                <w:szCs w:val="24"/>
                <w:highlight w:val="none"/>
              </w:rPr>
              <w:t>5.2.2.1建筑施工阶段碳排放区域应包括施工区、办公区和生活区，其电力、热力、水、炊用燃料及其他能源消耗量宜单独计量。</w:t>
            </w:r>
          </w:p>
        </w:tc>
        <w:tc>
          <w:tcPr>
            <w:tcW w:w="7625" w:type="dxa"/>
            <w:tcBorders>
              <w:top w:val="single" w:color="auto" w:sz="4" w:space="0"/>
              <w:left w:val="single" w:color="auto" w:sz="4" w:space="0"/>
              <w:bottom w:val="single" w:color="auto" w:sz="4" w:space="0"/>
              <w:right w:val="single" w:color="auto" w:sz="4" w:space="0"/>
            </w:tcBorders>
            <w:shd w:val="clear" w:color="auto" w:fill="FFFFFF"/>
            <w:vAlign w:val="center"/>
          </w:tcPr>
          <w:p w14:paraId="64F25FFD">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宋体" w:cs="Times New Roman"/>
                <w:b w:val="0"/>
                <w:i w:val="0"/>
                <w:iCs w:val="0"/>
                <w:caps w:val="0"/>
                <w:color w:val="000000"/>
                <w:spacing w:val="0"/>
                <w:sz w:val="24"/>
                <w:szCs w:val="24"/>
                <w:highlight w:val="none"/>
                <w:lang w:eastAsia="zh-CN"/>
              </w:rPr>
            </w:pPr>
            <w:r>
              <w:rPr>
                <w:rFonts w:hint="default" w:ascii="Times New Roman" w:hAnsi="Times New Roman" w:eastAsia="Segoe UI" w:cs="Times New Roman"/>
                <w:b w:val="0"/>
                <w:i w:val="0"/>
                <w:iCs w:val="0"/>
                <w:caps w:val="0"/>
                <w:color w:val="000000"/>
                <w:spacing w:val="0"/>
                <w:sz w:val="24"/>
                <w:szCs w:val="24"/>
                <w:highlight w:val="none"/>
              </w:rPr>
              <w:t>施工区（11块电表）、办公区（1块电表）、生活区（1块电表）的电力单独计量，生活区水表、食堂天然气台账分别统计</w:t>
            </w:r>
            <w:r>
              <w:rPr>
                <w:rFonts w:hint="default" w:ascii="Times New Roman" w:hAnsi="Times New Roman" w:eastAsia="宋体" w:cs="Times New Roman"/>
                <w:b w:val="0"/>
                <w:i w:val="0"/>
                <w:iCs w:val="0"/>
                <w:caps w:val="0"/>
                <w:color w:val="000000"/>
                <w:spacing w:val="0"/>
                <w:sz w:val="24"/>
                <w:szCs w:val="24"/>
                <w:highlight w:val="none"/>
                <w:lang w:eastAsia="zh-CN"/>
              </w:rPr>
              <w:t>。</w:t>
            </w:r>
          </w:p>
        </w:tc>
      </w:tr>
      <w:tr w14:paraId="71D3FB03">
        <w:tblPrEx>
          <w:tblBorders>
            <w:top w:val="single" w:color="auto" w:sz="6" w:space="0"/>
            <w:left w:val="single" w:color="auto" w:sz="2" w:space="0"/>
            <w:bottom w:val="single" w:color="auto" w:sz="2" w:space="0"/>
            <w:right w:val="single" w:color="auto" w:sz="2" w:space="0"/>
            <w:insideH w:val="none" w:color="auto" w:sz="0" w:space="0"/>
            <w:insideV w:val="none" w:color="auto" w:sz="0" w:space="0"/>
          </w:tblBorders>
          <w:shd w:val="clear" w:color="auto" w:fill="FFFFFF"/>
          <w:tblCellMar>
            <w:top w:w="80" w:type="dxa"/>
            <w:left w:w="128" w:type="dxa"/>
            <w:bottom w:w="80" w:type="dxa"/>
            <w:right w:w="128" w:type="dxa"/>
          </w:tblCellMar>
        </w:tblPrEx>
        <w:trPr>
          <w:trHeight w:val="0" w:hRule="atLeast"/>
          <w:jc w:val="center"/>
        </w:trPr>
        <w:tc>
          <w:tcPr>
            <w:tcW w:w="2364" w:type="dxa"/>
            <w:vMerge w:val="continue"/>
            <w:tcBorders>
              <w:left w:val="single" w:color="auto" w:sz="4" w:space="0"/>
              <w:right w:val="single" w:color="auto" w:sz="4" w:space="0"/>
            </w:tcBorders>
            <w:shd w:val="clear" w:color="auto" w:fill="FFFFFF"/>
            <w:vAlign w:val="center"/>
          </w:tcPr>
          <w:p w14:paraId="755FA985">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Segoe UI" w:cs="Times New Roman"/>
                <w:b w:val="0"/>
                <w:i w:val="0"/>
                <w:iCs w:val="0"/>
                <w:caps w:val="0"/>
                <w:color w:val="000000"/>
                <w:spacing w:val="0"/>
                <w:sz w:val="24"/>
                <w:szCs w:val="24"/>
                <w:highlight w:val="none"/>
              </w:rPr>
            </w:pPr>
          </w:p>
        </w:tc>
        <w:tc>
          <w:tcPr>
            <w:tcW w:w="4185" w:type="dxa"/>
            <w:tcBorders>
              <w:top w:val="single" w:color="auto" w:sz="4" w:space="0"/>
              <w:left w:val="single" w:color="auto" w:sz="4" w:space="0"/>
              <w:bottom w:val="single" w:color="auto" w:sz="4" w:space="0"/>
              <w:right w:val="single" w:color="auto" w:sz="4" w:space="0"/>
            </w:tcBorders>
            <w:shd w:val="clear" w:color="auto" w:fill="FFFFFF"/>
            <w:vAlign w:val="center"/>
          </w:tcPr>
          <w:p w14:paraId="25AE04C7">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Segoe UI" w:cs="Times New Roman"/>
                <w:b w:val="0"/>
                <w:i w:val="0"/>
                <w:iCs w:val="0"/>
                <w:caps w:val="0"/>
                <w:color w:val="000000"/>
                <w:spacing w:val="0"/>
                <w:sz w:val="24"/>
                <w:szCs w:val="24"/>
                <w:highlight w:val="none"/>
              </w:rPr>
            </w:pPr>
            <w:r>
              <w:rPr>
                <w:rFonts w:hint="default" w:ascii="Times New Roman" w:hAnsi="Times New Roman" w:eastAsia="Segoe UI" w:cs="Times New Roman"/>
                <w:b w:val="0"/>
                <w:i w:val="0"/>
                <w:iCs w:val="0"/>
                <w:caps w:val="0"/>
                <w:color w:val="000000"/>
                <w:spacing w:val="0"/>
                <w:sz w:val="24"/>
                <w:szCs w:val="24"/>
                <w:highlight w:val="none"/>
              </w:rPr>
              <w:t>5.2.2.2固定用电设备额定功率之和超过10kW的办公区，如会议室、资料室、办公室等，其电力消耗量宜单独计量。</w:t>
            </w:r>
          </w:p>
        </w:tc>
        <w:tc>
          <w:tcPr>
            <w:tcW w:w="7625" w:type="dxa"/>
            <w:tcBorders>
              <w:top w:val="single" w:color="auto" w:sz="4" w:space="0"/>
              <w:left w:val="single" w:color="auto" w:sz="4" w:space="0"/>
              <w:bottom w:val="single" w:color="auto" w:sz="4" w:space="0"/>
              <w:right w:val="single" w:color="auto" w:sz="4" w:space="0"/>
            </w:tcBorders>
            <w:shd w:val="clear" w:color="auto" w:fill="FFFFFF"/>
            <w:vAlign w:val="center"/>
          </w:tcPr>
          <w:p w14:paraId="54EF328B">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宋体" w:cs="Times New Roman"/>
                <w:b w:val="0"/>
                <w:i w:val="0"/>
                <w:iCs w:val="0"/>
                <w:caps w:val="0"/>
                <w:color w:val="000000"/>
                <w:spacing w:val="0"/>
                <w:sz w:val="24"/>
                <w:szCs w:val="24"/>
                <w:highlight w:val="none"/>
                <w:lang w:eastAsia="zh-CN"/>
              </w:rPr>
            </w:pPr>
            <w:r>
              <w:rPr>
                <w:rFonts w:hint="default" w:ascii="Times New Roman" w:hAnsi="Times New Roman" w:eastAsia="Segoe UI" w:cs="Times New Roman"/>
                <w:b w:val="0"/>
                <w:i w:val="0"/>
                <w:iCs w:val="0"/>
                <w:caps w:val="0"/>
                <w:color w:val="000000"/>
                <w:spacing w:val="0"/>
                <w:sz w:val="24"/>
                <w:szCs w:val="24"/>
                <w:highlight w:val="none"/>
              </w:rPr>
              <w:t>办公区固定用电设备（空调、打印机</w:t>
            </w:r>
            <w:r>
              <w:rPr>
                <w:rFonts w:hint="default" w:ascii="Times New Roman" w:hAnsi="Times New Roman" w:eastAsia="宋体" w:cs="Times New Roman"/>
                <w:b w:val="0"/>
                <w:i w:val="0"/>
                <w:iCs w:val="0"/>
                <w:caps w:val="0"/>
                <w:color w:val="000000"/>
                <w:spacing w:val="0"/>
                <w:sz w:val="24"/>
                <w:szCs w:val="24"/>
                <w:highlight w:val="none"/>
                <w:lang w:eastAsia="zh-CN"/>
              </w:rPr>
              <w:t>、</w:t>
            </w:r>
            <w:r>
              <w:rPr>
                <w:rFonts w:hint="default" w:ascii="Times New Roman" w:hAnsi="Times New Roman" w:eastAsia="宋体" w:cs="Times New Roman"/>
                <w:b w:val="0"/>
                <w:i w:val="0"/>
                <w:iCs w:val="0"/>
                <w:caps w:val="0"/>
                <w:color w:val="000000"/>
                <w:spacing w:val="0"/>
                <w:sz w:val="24"/>
                <w:szCs w:val="24"/>
                <w:highlight w:val="none"/>
                <w:lang w:val="en-US" w:eastAsia="zh-CN"/>
              </w:rPr>
              <w:t>电脑等</w:t>
            </w:r>
            <w:r>
              <w:rPr>
                <w:rFonts w:hint="default" w:ascii="Times New Roman" w:hAnsi="Times New Roman" w:eastAsia="Segoe UI" w:cs="Times New Roman"/>
                <w:b w:val="0"/>
                <w:i w:val="0"/>
                <w:iCs w:val="0"/>
                <w:caps w:val="0"/>
                <w:color w:val="000000"/>
                <w:spacing w:val="0"/>
                <w:sz w:val="24"/>
                <w:szCs w:val="24"/>
                <w:highlight w:val="none"/>
              </w:rPr>
              <w:t>）总功率12kW，单独加装1.0级电能表计量</w:t>
            </w:r>
            <w:r>
              <w:rPr>
                <w:rFonts w:hint="default" w:ascii="Times New Roman" w:hAnsi="Times New Roman" w:eastAsia="宋体" w:cs="Times New Roman"/>
                <w:b w:val="0"/>
                <w:i w:val="0"/>
                <w:iCs w:val="0"/>
                <w:caps w:val="0"/>
                <w:color w:val="000000"/>
                <w:spacing w:val="0"/>
                <w:sz w:val="24"/>
                <w:szCs w:val="24"/>
                <w:highlight w:val="none"/>
                <w:lang w:eastAsia="zh-CN"/>
              </w:rPr>
              <w:t>。</w:t>
            </w:r>
          </w:p>
        </w:tc>
      </w:tr>
      <w:tr w14:paraId="3BC04103">
        <w:tblPrEx>
          <w:tblBorders>
            <w:top w:val="single" w:color="auto" w:sz="6" w:space="0"/>
            <w:left w:val="single" w:color="auto" w:sz="2" w:space="0"/>
            <w:bottom w:val="single" w:color="auto" w:sz="2" w:space="0"/>
            <w:right w:val="single" w:color="auto" w:sz="2" w:space="0"/>
            <w:insideH w:val="none" w:color="auto" w:sz="0" w:space="0"/>
            <w:insideV w:val="none" w:color="auto" w:sz="0" w:space="0"/>
          </w:tblBorders>
          <w:shd w:val="clear" w:color="auto" w:fill="FFFFFF"/>
          <w:tblCellMar>
            <w:top w:w="80" w:type="dxa"/>
            <w:left w:w="128" w:type="dxa"/>
            <w:bottom w:w="80" w:type="dxa"/>
            <w:right w:w="128" w:type="dxa"/>
          </w:tblCellMar>
        </w:tblPrEx>
        <w:trPr>
          <w:trHeight w:val="0" w:hRule="atLeast"/>
          <w:jc w:val="center"/>
        </w:trPr>
        <w:tc>
          <w:tcPr>
            <w:tcW w:w="2364" w:type="dxa"/>
            <w:vMerge w:val="continue"/>
            <w:tcBorders>
              <w:left w:val="single" w:color="auto" w:sz="4" w:space="0"/>
              <w:right w:val="single" w:color="auto" w:sz="4" w:space="0"/>
            </w:tcBorders>
            <w:shd w:val="clear" w:color="auto" w:fill="FFFFFF"/>
            <w:vAlign w:val="center"/>
          </w:tcPr>
          <w:p w14:paraId="02721D0C">
            <w:pPr>
              <w:keepNext w:val="0"/>
              <w:keepLines w:val="0"/>
              <w:widowControl/>
              <w:suppressLineNumbers w:val="0"/>
              <w:snapToGrid w:val="0"/>
              <w:spacing w:before="0" w:beforeAutospacing="0" w:after="0" w:afterAutospacing="0" w:line="420" w:lineRule="atLeast"/>
              <w:ind w:left="0" w:right="0" w:firstLine="0"/>
              <w:jc w:val="center"/>
              <w:rPr>
                <w:rFonts w:hint="default" w:ascii="Times New Roman" w:hAnsi="Times New Roman" w:eastAsia="宋体" w:cs="Times New Roman"/>
                <w:b w:val="0"/>
                <w:i w:val="0"/>
                <w:iCs w:val="0"/>
                <w:caps w:val="0"/>
                <w:color w:val="000000"/>
                <w:spacing w:val="0"/>
                <w:sz w:val="24"/>
                <w:szCs w:val="24"/>
                <w:highlight w:val="none"/>
                <w:lang w:val="en-US" w:eastAsia="zh-CN"/>
              </w:rPr>
            </w:pPr>
          </w:p>
        </w:tc>
        <w:tc>
          <w:tcPr>
            <w:tcW w:w="4185" w:type="dxa"/>
            <w:tcBorders>
              <w:top w:val="single" w:color="auto" w:sz="4" w:space="0"/>
              <w:left w:val="single" w:color="000000" w:sz="4" w:space="0"/>
              <w:bottom w:val="single" w:color="000000" w:sz="4" w:space="0"/>
              <w:right w:val="single" w:color="000000" w:sz="4" w:space="0"/>
            </w:tcBorders>
            <w:shd w:val="clear" w:color="auto" w:fill="FFFFFF"/>
            <w:vAlign w:val="center"/>
          </w:tcPr>
          <w:p w14:paraId="0C4AC914">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Segoe UI" w:cs="Times New Roman"/>
                <w:b w:val="0"/>
                <w:i w:val="0"/>
                <w:iCs w:val="0"/>
                <w:caps w:val="0"/>
                <w:color w:val="000000"/>
                <w:spacing w:val="0"/>
                <w:sz w:val="24"/>
                <w:szCs w:val="24"/>
                <w:highlight w:val="none"/>
              </w:rPr>
            </w:pPr>
            <w:r>
              <w:rPr>
                <w:rFonts w:hint="default" w:ascii="Times New Roman" w:hAnsi="Times New Roman" w:eastAsia="Segoe UI" w:cs="Times New Roman"/>
                <w:b w:val="0"/>
                <w:i w:val="0"/>
                <w:iCs w:val="0"/>
                <w:caps w:val="0"/>
                <w:color w:val="000000"/>
                <w:spacing w:val="0"/>
                <w:sz w:val="24"/>
                <w:szCs w:val="24"/>
                <w:highlight w:val="none"/>
              </w:rPr>
              <w:t>5.2.2.</w:t>
            </w:r>
            <w:r>
              <w:rPr>
                <w:rFonts w:hint="default" w:ascii="Times New Roman" w:hAnsi="Times New Roman" w:eastAsia="宋体" w:cs="Times New Roman"/>
                <w:b w:val="0"/>
                <w:i w:val="0"/>
                <w:iCs w:val="0"/>
                <w:caps w:val="0"/>
                <w:color w:val="000000"/>
                <w:spacing w:val="0"/>
                <w:sz w:val="24"/>
                <w:szCs w:val="24"/>
                <w:highlight w:val="none"/>
                <w:lang w:val="en-US" w:eastAsia="zh-CN"/>
              </w:rPr>
              <w:t>3</w:t>
            </w:r>
            <w:r>
              <w:rPr>
                <w:rFonts w:hint="default" w:ascii="Times New Roman" w:hAnsi="Times New Roman" w:eastAsia="Segoe UI" w:cs="Times New Roman"/>
                <w:b w:val="0"/>
                <w:i w:val="0"/>
                <w:iCs w:val="0"/>
                <w:caps w:val="0"/>
                <w:color w:val="000000"/>
                <w:spacing w:val="0"/>
                <w:sz w:val="24"/>
                <w:szCs w:val="24"/>
                <w:highlight w:val="none"/>
              </w:rPr>
              <w:t>施工区应建立包括不同施工机具设备使用、燃料消耗、电力消耗等信息的能源资源消耗台账，分析汇总碳排放数据。</w:t>
            </w:r>
          </w:p>
        </w:tc>
        <w:tc>
          <w:tcPr>
            <w:tcW w:w="7625" w:type="dxa"/>
            <w:tcBorders>
              <w:top w:val="single" w:color="auto" w:sz="4" w:space="0"/>
              <w:left w:val="single" w:color="000000" w:sz="4" w:space="0"/>
              <w:bottom w:val="single" w:color="000000" w:sz="4" w:space="0"/>
              <w:right w:val="single" w:color="000000" w:sz="4" w:space="0"/>
            </w:tcBorders>
            <w:shd w:val="clear" w:color="auto" w:fill="FFFFFF"/>
            <w:vAlign w:val="center"/>
          </w:tcPr>
          <w:p w14:paraId="1E6ABA55">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宋体" w:cs="Times New Roman"/>
                <w:b w:val="0"/>
                <w:i w:val="0"/>
                <w:iCs w:val="0"/>
                <w:caps w:val="0"/>
                <w:color w:val="000000"/>
                <w:spacing w:val="0"/>
                <w:sz w:val="24"/>
                <w:szCs w:val="24"/>
                <w:highlight w:val="none"/>
                <w:lang w:eastAsia="zh-CN"/>
              </w:rPr>
            </w:pPr>
            <w:r>
              <w:rPr>
                <w:rFonts w:hint="default" w:ascii="Times New Roman" w:hAnsi="Times New Roman" w:eastAsia="Segoe UI" w:cs="Times New Roman"/>
                <w:b w:val="0"/>
                <w:i w:val="0"/>
                <w:iCs w:val="0"/>
                <w:caps w:val="0"/>
                <w:color w:val="000000"/>
                <w:spacing w:val="0"/>
                <w:sz w:val="24"/>
                <w:szCs w:val="24"/>
                <w:highlight w:val="none"/>
              </w:rPr>
              <w:t>施工区建立“设备能耗台账”，每日记录塔吊、混凝土泵车的用电/用油数据，每周汇总分析</w:t>
            </w:r>
            <w:r>
              <w:rPr>
                <w:rFonts w:hint="default" w:ascii="Times New Roman" w:hAnsi="Times New Roman" w:eastAsia="宋体" w:cs="Times New Roman"/>
                <w:b w:val="0"/>
                <w:i w:val="0"/>
                <w:iCs w:val="0"/>
                <w:caps w:val="0"/>
                <w:color w:val="000000"/>
                <w:spacing w:val="0"/>
                <w:sz w:val="24"/>
                <w:szCs w:val="24"/>
                <w:highlight w:val="none"/>
                <w:lang w:eastAsia="zh-CN"/>
              </w:rPr>
              <w:t>。</w:t>
            </w:r>
          </w:p>
        </w:tc>
      </w:tr>
      <w:tr w14:paraId="6D976776">
        <w:tblPrEx>
          <w:tblBorders>
            <w:top w:val="single" w:color="auto" w:sz="6" w:space="0"/>
            <w:left w:val="single" w:color="auto" w:sz="2" w:space="0"/>
            <w:bottom w:val="single" w:color="auto" w:sz="2" w:space="0"/>
            <w:right w:val="single" w:color="auto" w:sz="2" w:space="0"/>
            <w:insideH w:val="none" w:color="auto" w:sz="0" w:space="0"/>
            <w:insideV w:val="none" w:color="auto" w:sz="0" w:space="0"/>
          </w:tblBorders>
          <w:shd w:val="clear" w:color="auto" w:fill="FFFFFF"/>
          <w:tblCellMar>
            <w:top w:w="80" w:type="dxa"/>
            <w:left w:w="128" w:type="dxa"/>
            <w:bottom w:w="80" w:type="dxa"/>
            <w:right w:w="128" w:type="dxa"/>
          </w:tblCellMar>
        </w:tblPrEx>
        <w:trPr>
          <w:trHeight w:val="0" w:hRule="atLeast"/>
          <w:jc w:val="center"/>
        </w:trPr>
        <w:tc>
          <w:tcPr>
            <w:tcW w:w="2364" w:type="dxa"/>
            <w:vMerge w:val="continue"/>
            <w:tcBorders>
              <w:left w:val="single" w:color="auto" w:sz="4" w:space="0"/>
              <w:right w:val="single" w:color="auto" w:sz="4" w:space="0"/>
            </w:tcBorders>
            <w:shd w:val="clear" w:color="auto" w:fill="FFFFFF"/>
            <w:vAlign w:val="center"/>
          </w:tcPr>
          <w:p w14:paraId="7221DD84">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Segoe UI" w:cs="Times New Roman"/>
                <w:b w:val="0"/>
                <w:i w:val="0"/>
                <w:iCs w:val="0"/>
                <w:caps w:val="0"/>
                <w:color w:val="000000"/>
                <w:spacing w:val="0"/>
                <w:sz w:val="24"/>
                <w:szCs w:val="24"/>
                <w:highlight w:val="none"/>
              </w:rPr>
            </w:pPr>
          </w:p>
        </w:tc>
        <w:tc>
          <w:tcPr>
            <w:tcW w:w="41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BDB786D">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宋体" w:cs="Times New Roman"/>
                <w:b w:val="0"/>
                <w:i w:val="0"/>
                <w:iCs w:val="0"/>
                <w:caps w:val="0"/>
                <w:color w:val="000000"/>
                <w:spacing w:val="0"/>
                <w:sz w:val="24"/>
                <w:szCs w:val="24"/>
                <w:highlight w:val="none"/>
                <w:lang w:val="en-US" w:eastAsia="zh-CN"/>
              </w:rPr>
            </w:pPr>
            <w:r>
              <w:rPr>
                <w:rFonts w:hint="default" w:ascii="Times New Roman" w:hAnsi="Times New Roman" w:eastAsia="Segoe UI" w:cs="Times New Roman"/>
                <w:b w:val="0"/>
                <w:i w:val="0"/>
                <w:iCs w:val="0"/>
                <w:caps w:val="0"/>
                <w:color w:val="000000"/>
                <w:spacing w:val="0"/>
                <w:sz w:val="24"/>
                <w:szCs w:val="24"/>
                <w:highlight w:val="none"/>
              </w:rPr>
              <w:t>5.2.2.</w:t>
            </w:r>
            <w:r>
              <w:rPr>
                <w:rFonts w:hint="default" w:ascii="Times New Roman" w:hAnsi="Times New Roman" w:eastAsia="宋体" w:cs="Times New Roman"/>
                <w:b w:val="0"/>
                <w:i w:val="0"/>
                <w:iCs w:val="0"/>
                <w:caps w:val="0"/>
                <w:color w:val="000000"/>
                <w:spacing w:val="0"/>
                <w:sz w:val="24"/>
                <w:szCs w:val="24"/>
                <w:highlight w:val="none"/>
                <w:lang w:val="en-US" w:eastAsia="zh-CN"/>
              </w:rPr>
              <w:t>4具备条件的施工项目，其绿化养护用水宜单独计量。</w:t>
            </w:r>
          </w:p>
        </w:tc>
        <w:tc>
          <w:tcPr>
            <w:tcW w:w="762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3109F42">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宋体" w:cs="Times New Roman"/>
                <w:b w:val="0"/>
                <w:i w:val="0"/>
                <w:iCs w:val="0"/>
                <w:caps w:val="0"/>
                <w:color w:val="000000"/>
                <w:spacing w:val="0"/>
                <w:sz w:val="24"/>
                <w:szCs w:val="24"/>
                <w:highlight w:val="none"/>
                <w:lang w:eastAsia="zh-CN"/>
              </w:rPr>
            </w:pPr>
            <w:r>
              <w:rPr>
                <w:rFonts w:hint="default" w:ascii="Times New Roman" w:hAnsi="Times New Roman" w:eastAsia="Segoe UI" w:cs="Times New Roman"/>
                <w:b w:val="0"/>
                <w:i w:val="0"/>
                <w:iCs w:val="0"/>
                <w:caps w:val="0"/>
                <w:color w:val="000000"/>
                <w:spacing w:val="0"/>
                <w:sz w:val="24"/>
                <w:szCs w:val="24"/>
                <w:highlight w:val="none"/>
              </w:rPr>
              <w:t>在绿化灌溉管网加装简易水表，单独计量养护用水量</w:t>
            </w:r>
            <w:r>
              <w:rPr>
                <w:rFonts w:hint="default" w:ascii="Times New Roman" w:hAnsi="Times New Roman" w:eastAsia="宋体" w:cs="Times New Roman"/>
                <w:b w:val="0"/>
                <w:i w:val="0"/>
                <w:iCs w:val="0"/>
                <w:caps w:val="0"/>
                <w:color w:val="000000"/>
                <w:spacing w:val="0"/>
                <w:sz w:val="24"/>
                <w:szCs w:val="24"/>
                <w:highlight w:val="none"/>
                <w:lang w:eastAsia="zh-CN"/>
              </w:rPr>
              <w:t>。</w:t>
            </w:r>
          </w:p>
        </w:tc>
      </w:tr>
      <w:tr w14:paraId="45FD43EC">
        <w:tblPrEx>
          <w:tblBorders>
            <w:top w:val="single" w:color="auto" w:sz="6" w:space="0"/>
            <w:left w:val="single" w:color="auto" w:sz="2" w:space="0"/>
            <w:bottom w:val="single" w:color="auto" w:sz="2" w:space="0"/>
            <w:right w:val="single" w:color="auto" w:sz="2" w:space="0"/>
            <w:insideH w:val="none" w:color="auto" w:sz="0" w:space="0"/>
            <w:insideV w:val="none" w:color="auto" w:sz="0" w:space="0"/>
          </w:tblBorders>
          <w:shd w:val="clear" w:color="auto" w:fill="FFFFFF"/>
          <w:tblCellMar>
            <w:top w:w="80" w:type="dxa"/>
            <w:left w:w="128" w:type="dxa"/>
            <w:bottom w:w="80" w:type="dxa"/>
            <w:right w:w="128" w:type="dxa"/>
          </w:tblCellMar>
        </w:tblPrEx>
        <w:trPr>
          <w:trHeight w:val="0" w:hRule="atLeast"/>
          <w:jc w:val="center"/>
        </w:trPr>
        <w:tc>
          <w:tcPr>
            <w:tcW w:w="2364" w:type="dxa"/>
            <w:vMerge w:val="continue"/>
            <w:tcBorders>
              <w:left w:val="single" w:color="auto" w:sz="4" w:space="0"/>
              <w:bottom w:val="single" w:color="000000" w:sz="4" w:space="0"/>
              <w:right w:val="single" w:color="auto" w:sz="4" w:space="0"/>
            </w:tcBorders>
            <w:shd w:val="clear" w:color="auto" w:fill="FFFFFF"/>
            <w:vAlign w:val="center"/>
          </w:tcPr>
          <w:p w14:paraId="107D392C">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Segoe UI" w:cs="Times New Roman"/>
                <w:b w:val="0"/>
                <w:i w:val="0"/>
                <w:iCs w:val="0"/>
                <w:caps w:val="0"/>
                <w:color w:val="000000"/>
                <w:spacing w:val="0"/>
                <w:sz w:val="24"/>
                <w:szCs w:val="24"/>
                <w:highlight w:val="none"/>
              </w:rPr>
            </w:pPr>
          </w:p>
        </w:tc>
        <w:tc>
          <w:tcPr>
            <w:tcW w:w="41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506DFDA">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Segoe UI" w:cs="Times New Roman"/>
                <w:b w:val="0"/>
                <w:i w:val="0"/>
                <w:iCs w:val="0"/>
                <w:caps w:val="0"/>
                <w:color w:val="000000"/>
                <w:spacing w:val="0"/>
                <w:sz w:val="24"/>
                <w:szCs w:val="24"/>
                <w:highlight w:val="none"/>
              </w:rPr>
            </w:pPr>
            <w:r>
              <w:rPr>
                <w:rFonts w:hint="default" w:ascii="Times New Roman" w:hAnsi="Times New Roman" w:eastAsia="Segoe UI" w:cs="Times New Roman"/>
                <w:b w:val="0"/>
                <w:i w:val="0"/>
                <w:iCs w:val="0"/>
                <w:caps w:val="0"/>
                <w:color w:val="000000"/>
                <w:spacing w:val="0"/>
                <w:sz w:val="24"/>
                <w:szCs w:val="24"/>
                <w:highlight w:val="none"/>
              </w:rPr>
              <w:t>5.2.2.5用于存放施工材料和构件、停放和维修施工机械设备，以及收集、分类和处理施工过程中产生的废物和废料的区域，其能源资源消耗宜单独计量。</w:t>
            </w:r>
          </w:p>
        </w:tc>
        <w:tc>
          <w:tcPr>
            <w:tcW w:w="762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4B04E88">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Segoe UI" w:cs="Times New Roman"/>
                <w:b w:val="0"/>
                <w:i w:val="0"/>
                <w:iCs w:val="0"/>
                <w:caps w:val="0"/>
                <w:color w:val="000000"/>
                <w:spacing w:val="0"/>
                <w:sz w:val="24"/>
                <w:szCs w:val="24"/>
                <w:highlight w:val="none"/>
              </w:rPr>
            </w:pPr>
            <w:r>
              <w:rPr>
                <w:rFonts w:hint="default" w:ascii="Times New Roman" w:hAnsi="Times New Roman" w:eastAsia="Segoe UI" w:cs="Times New Roman"/>
                <w:b w:val="0"/>
                <w:i w:val="0"/>
                <w:iCs w:val="0"/>
                <w:caps w:val="0"/>
                <w:color w:val="000000"/>
                <w:spacing w:val="0"/>
                <w:sz w:val="24"/>
                <w:szCs w:val="24"/>
                <w:highlight w:val="none"/>
              </w:rPr>
              <w:t>材料存放区（钢筋、模板仓库）的照明用电纳入分区电表计量，设备维修区（机械维修间）的电力、工具用油单独记录，废物处理区（建筑垃圾分拣区）的用电通过就近回路电表统计。</w:t>
            </w:r>
          </w:p>
        </w:tc>
      </w:tr>
      <w:tr w14:paraId="67C7CB8D">
        <w:tblPrEx>
          <w:tblBorders>
            <w:top w:val="single" w:color="auto" w:sz="6" w:space="0"/>
            <w:left w:val="single" w:color="auto" w:sz="2" w:space="0"/>
            <w:bottom w:val="single" w:color="auto" w:sz="2" w:space="0"/>
            <w:right w:val="single" w:color="auto" w:sz="2" w:space="0"/>
            <w:insideH w:val="none" w:color="auto" w:sz="0" w:space="0"/>
            <w:insideV w:val="none" w:color="auto" w:sz="0" w:space="0"/>
          </w:tblBorders>
          <w:shd w:val="clear" w:color="auto" w:fill="FFFFFF"/>
          <w:tblCellMar>
            <w:top w:w="80" w:type="dxa"/>
            <w:left w:w="128" w:type="dxa"/>
            <w:bottom w:w="80" w:type="dxa"/>
            <w:right w:w="128" w:type="dxa"/>
          </w:tblCellMar>
        </w:tblPrEx>
        <w:trPr>
          <w:trHeight w:val="0" w:hRule="atLeast"/>
          <w:jc w:val="center"/>
        </w:trPr>
        <w:tc>
          <w:tcPr>
            <w:tcW w:w="14174"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14:paraId="07FC9616">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Segoe UI" w:cs="Times New Roman"/>
                <w:b w:val="0"/>
                <w:i w:val="0"/>
                <w:iCs w:val="0"/>
                <w:caps w:val="0"/>
                <w:color w:val="000000"/>
                <w:spacing w:val="0"/>
                <w:sz w:val="24"/>
                <w:szCs w:val="24"/>
                <w:highlight w:val="none"/>
              </w:rPr>
            </w:pPr>
            <w:r>
              <w:rPr>
                <w:rFonts w:hint="default" w:ascii="Times New Roman" w:hAnsi="Times New Roman" w:eastAsia="Segoe UI" w:cs="Times New Roman"/>
                <w:b w:val="0"/>
                <w:bCs w:val="0"/>
                <w:i w:val="0"/>
                <w:iCs w:val="0"/>
                <w:caps w:val="0"/>
                <w:color w:val="000000"/>
                <w:spacing w:val="0"/>
                <w:sz w:val="24"/>
                <w:szCs w:val="24"/>
                <w:highlight w:val="none"/>
              </w:rPr>
              <w:t>5.3 计量器具配备率</w:t>
            </w:r>
          </w:p>
        </w:tc>
      </w:tr>
      <w:tr w14:paraId="6873180A">
        <w:tblPrEx>
          <w:tblBorders>
            <w:top w:val="single" w:color="auto" w:sz="6" w:space="0"/>
            <w:left w:val="single" w:color="auto" w:sz="2" w:space="0"/>
            <w:bottom w:val="single" w:color="auto" w:sz="2" w:space="0"/>
            <w:right w:val="single" w:color="auto" w:sz="2" w:space="0"/>
            <w:insideH w:val="none" w:color="auto" w:sz="0" w:space="0"/>
            <w:insideV w:val="none" w:color="auto" w:sz="0" w:space="0"/>
          </w:tblBorders>
          <w:shd w:val="clear" w:color="auto" w:fill="FFFFFF"/>
          <w:tblCellMar>
            <w:top w:w="80" w:type="dxa"/>
            <w:left w:w="128" w:type="dxa"/>
            <w:bottom w:w="80" w:type="dxa"/>
            <w:right w:w="128" w:type="dxa"/>
          </w:tblCellMar>
        </w:tblPrEx>
        <w:trPr>
          <w:trHeight w:val="0" w:hRule="atLeast"/>
          <w:jc w:val="center"/>
        </w:trPr>
        <w:tc>
          <w:tcPr>
            <w:tcW w:w="2364"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64CF14F">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宋体" w:cs="Times New Roman"/>
                <w:b w:val="0"/>
                <w:i w:val="0"/>
                <w:iCs w:val="0"/>
                <w:caps w:val="0"/>
                <w:color w:val="000000"/>
                <w:spacing w:val="0"/>
                <w:sz w:val="24"/>
                <w:szCs w:val="24"/>
                <w:highlight w:val="none"/>
                <w:lang w:val="en-US" w:eastAsia="zh-CN"/>
              </w:rPr>
            </w:pPr>
            <w:r>
              <w:rPr>
                <w:rFonts w:hint="eastAsia" w:ascii="Times New Roman" w:hAnsi="Times New Roman" w:eastAsia="宋体" w:cs="Times New Roman"/>
                <w:b w:val="0"/>
                <w:i w:val="0"/>
                <w:iCs w:val="0"/>
                <w:caps w:val="0"/>
                <w:color w:val="000000"/>
                <w:spacing w:val="0"/>
                <w:sz w:val="24"/>
                <w:szCs w:val="24"/>
                <w:highlight w:val="none"/>
                <w:lang w:val="en-US" w:eastAsia="zh-CN"/>
              </w:rPr>
              <w:t>5.3.2</w:t>
            </w:r>
          </w:p>
        </w:tc>
        <w:tc>
          <w:tcPr>
            <w:tcW w:w="41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5AD10C7">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Segoe UI" w:cs="Times New Roman"/>
                <w:b w:val="0"/>
                <w:i w:val="0"/>
                <w:iCs w:val="0"/>
                <w:caps w:val="0"/>
                <w:color w:val="000000"/>
                <w:spacing w:val="0"/>
                <w:sz w:val="24"/>
                <w:szCs w:val="24"/>
                <w:highlight w:val="none"/>
              </w:rPr>
            </w:pPr>
            <w:r>
              <w:rPr>
                <w:rFonts w:hint="default" w:ascii="Times New Roman" w:hAnsi="Times New Roman" w:eastAsia="Segoe UI" w:cs="Times New Roman"/>
                <w:b w:val="0"/>
                <w:i w:val="0"/>
                <w:iCs w:val="0"/>
                <w:caps w:val="0"/>
                <w:color w:val="000000"/>
                <w:spacing w:val="0"/>
                <w:sz w:val="24"/>
                <w:szCs w:val="24"/>
                <w:highlight w:val="none"/>
              </w:rPr>
              <w:t>建筑施工阶段各计量器具配备率</w:t>
            </w:r>
            <w:r>
              <w:rPr>
                <w:rFonts w:hint="eastAsia" w:ascii="Times New Roman" w:hAnsi="Times New Roman" w:eastAsia="宋体" w:cs="Times New Roman"/>
                <w:b w:val="0"/>
                <w:i w:val="0"/>
                <w:iCs w:val="0"/>
                <w:caps w:val="0"/>
                <w:color w:val="000000"/>
                <w:spacing w:val="0"/>
                <w:sz w:val="24"/>
                <w:szCs w:val="24"/>
                <w:highlight w:val="none"/>
                <w:lang w:val="en-US" w:eastAsia="zh-CN"/>
              </w:rPr>
              <w:t>应符合</w:t>
            </w:r>
            <w:r>
              <w:rPr>
                <w:rFonts w:hint="default" w:ascii="Times New Roman" w:hAnsi="Times New Roman" w:eastAsia="Segoe UI" w:cs="Times New Roman"/>
                <w:b w:val="0"/>
                <w:i w:val="0"/>
                <w:iCs w:val="0"/>
                <w:caps w:val="0"/>
                <w:color w:val="000000"/>
                <w:spacing w:val="0"/>
                <w:sz w:val="24"/>
                <w:szCs w:val="24"/>
                <w:highlight w:val="none"/>
              </w:rPr>
              <w:t>附录B</w:t>
            </w:r>
            <w:r>
              <w:rPr>
                <w:rFonts w:hint="default" w:ascii="Times New Roman" w:hAnsi="Times New Roman" w:eastAsia="Segoe UI" w:cs="Times New Roman"/>
                <w:color w:val="000000"/>
                <w:sz w:val="24"/>
                <w:szCs w:val="24"/>
                <w:highlight w:val="none"/>
              </w:rPr>
              <w:t>表B.1的规定</w:t>
            </w:r>
            <w:r>
              <w:rPr>
                <w:rFonts w:hint="default" w:ascii="Times New Roman" w:hAnsi="Times New Roman" w:eastAsia="Segoe UI" w:cs="Times New Roman"/>
                <w:b w:val="0"/>
                <w:i w:val="0"/>
                <w:iCs w:val="0"/>
                <w:caps w:val="0"/>
                <w:color w:val="000000"/>
                <w:spacing w:val="0"/>
                <w:sz w:val="24"/>
                <w:szCs w:val="24"/>
                <w:highlight w:val="none"/>
              </w:rPr>
              <w:t>。其中重点排放设备参考清单可参考附录C。</w:t>
            </w:r>
          </w:p>
        </w:tc>
        <w:tc>
          <w:tcPr>
            <w:tcW w:w="762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1728343">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Segoe UI" w:cs="Times New Roman"/>
                <w:b w:val="0"/>
                <w:i w:val="0"/>
                <w:iCs w:val="0"/>
                <w:caps w:val="0"/>
                <w:color w:val="000000"/>
                <w:spacing w:val="0"/>
                <w:sz w:val="24"/>
                <w:szCs w:val="24"/>
                <w:highlight w:val="none"/>
              </w:rPr>
            </w:pPr>
            <w:r>
              <w:rPr>
                <w:rFonts w:hint="default" w:ascii="Times New Roman" w:hAnsi="Times New Roman" w:eastAsia="Segoe UI" w:cs="Times New Roman"/>
                <w:b w:val="0"/>
                <w:i w:val="0"/>
                <w:iCs w:val="0"/>
                <w:caps w:val="0"/>
                <w:color w:val="000000"/>
                <w:spacing w:val="0"/>
                <w:sz w:val="24"/>
                <w:szCs w:val="24"/>
                <w:highlight w:val="none"/>
              </w:rPr>
              <w:t>1.电力：配备13块电表，覆盖所有用电区域，配备率100%</w:t>
            </w:r>
            <w:r>
              <w:rPr>
                <w:rFonts w:hint="default" w:ascii="Times New Roman" w:hAnsi="Times New Roman" w:eastAsia="宋体" w:cs="Times New Roman"/>
                <w:b w:val="0"/>
                <w:i w:val="0"/>
                <w:iCs w:val="0"/>
                <w:caps w:val="0"/>
                <w:color w:val="000000"/>
                <w:spacing w:val="0"/>
                <w:sz w:val="24"/>
                <w:szCs w:val="24"/>
                <w:highlight w:val="none"/>
                <w:lang w:eastAsia="zh-CN"/>
              </w:rPr>
              <w:t>，</w:t>
            </w:r>
            <w:r>
              <w:rPr>
                <w:rFonts w:hint="default" w:ascii="Times New Roman" w:hAnsi="Times New Roman" w:eastAsia="宋体" w:cs="Times New Roman"/>
                <w:b w:val="0"/>
                <w:i w:val="0"/>
                <w:iCs w:val="0"/>
                <w:caps w:val="0"/>
                <w:color w:val="000000"/>
                <w:spacing w:val="0"/>
                <w:sz w:val="24"/>
                <w:szCs w:val="24"/>
                <w:highlight w:val="none"/>
                <w:lang w:val="en-US" w:eastAsia="zh-CN"/>
              </w:rPr>
              <w:t>达到规范</w:t>
            </w:r>
            <w:r>
              <w:rPr>
                <w:rFonts w:hint="default" w:ascii="Times New Roman" w:hAnsi="Times New Roman" w:eastAsia="Segoe UI" w:cs="Times New Roman"/>
                <w:b w:val="0"/>
                <w:i w:val="0"/>
                <w:iCs w:val="0"/>
                <w:caps w:val="0"/>
                <w:color w:val="000000"/>
                <w:spacing w:val="0"/>
                <w:sz w:val="24"/>
                <w:szCs w:val="24"/>
                <w:highlight w:val="none"/>
              </w:rPr>
              <w:t>附录B要求≥95%；</w:t>
            </w:r>
          </w:p>
          <w:p w14:paraId="550E088B">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Segoe UI" w:cs="Times New Roman"/>
                <w:b w:val="0"/>
                <w:i w:val="0"/>
                <w:iCs w:val="0"/>
                <w:caps w:val="0"/>
                <w:color w:val="000000"/>
                <w:spacing w:val="0"/>
                <w:sz w:val="24"/>
                <w:szCs w:val="24"/>
                <w:highlight w:val="none"/>
              </w:rPr>
            </w:pPr>
            <w:r>
              <w:rPr>
                <w:rFonts w:hint="default" w:ascii="Times New Roman" w:hAnsi="Times New Roman" w:eastAsia="Segoe UI" w:cs="Times New Roman"/>
                <w:b w:val="0"/>
                <w:i w:val="0"/>
                <w:iCs w:val="0"/>
                <w:caps w:val="0"/>
                <w:color w:val="000000"/>
                <w:spacing w:val="0"/>
                <w:sz w:val="24"/>
                <w:szCs w:val="24"/>
                <w:highlight w:val="none"/>
              </w:rPr>
              <w:t>2.柴油：配备2台涡轮流量计，覆盖所有柴油消耗设备，</w:t>
            </w:r>
            <w:r>
              <w:rPr>
                <w:rFonts w:hint="default" w:ascii="Times New Roman" w:hAnsi="Times New Roman" w:eastAsia="宋体" w:cs="Times New Roman"/>
                <w:b w:val="0"/>
                <w:i w:val="0"/>
                <w:iCs w:val="0"/>
                <w:caps w:val="0"/>
                <w:color w:val="000000"/>
                <w:spacing w:val="0"/>
                <w:sz w:val="24"/>
                <w:szCs w:val="24"/>
                <w:highlight w:val="none"/>
                <w:lang w:val="en-US" w:eastAsia="zh-CN"/>
              </w:rPr>
              <w:t>达到规范</w:t>
            </w:r>
            <w:r>
              <w:rPr>
                <w:rFonts w:hint="default" w:ascii="Times New Roman" w:hAnsi="Times New Roman" w:eastAsia="Segoe UI" w:cs="Times New Roman"/>
                <w:b w:val="0"/>
                <w:i w:val="0"/>
                <w:iCs w:val="0"/>
                <w:caps w:val="0"/>
                <w:color w:val="000000"/>
                <w:spacing w:val="0"/>
                <w:sz w:val="24"/>
                <w:szCs w:val="24"/>
                <w:highlight w:val="none"/>
              </w:rPr>
              <w:t>附录B要求≥95%；</w:t>
            </w:r>
          </w:p>
          <w:p w14:paraId="5093F3EB">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宋体" w:cs="Times New Roman"/>
                <w:b w:val="0"/>
                <w:i w:val="0"/>
                <w:iCs w:val="0"/>
                <w:caps w:val="0"/>
                <w:color w:val="000000"/>
                <w:spacing w:val="0"/>
                <w:sz w:val="24"/>
                <w:szCs w:val="24"/>
                <w:highlight w:val="none"/>
                <w:lang w:eastAsia="zh-CN"/>
              </w:rPr>
            </w:pPr>
            <w:r>
              <w:rPr>
                <w:rFonts w:hint="default" w:ascii="Times New Roman" w:hAnsi="Times New Roman" w:eastAsia="Segoe UI" w:cs="Times New Roman"/>
                <w:b w:val="0"/>
                <w:i w:val="0"/>
                <w:iCs w:val="0"/>
                <w:caps w:val="0"/>
                <w:color w:val="000000"/>
                <w:spacing w:val="0"/>
                <w:sz w:val="24"/>
                <w:szCs w:val="24"/>
                <w:highlight w:val="none"/>
              </w:rPr>
              <w:t>3.水资源：配备3块智能水表，覆盖施工、办公、生活用水，配备率100%</w:t>
            </w:r>
            <w:r>
              <w:rPr>
                <w:rFonts w:hint="default" w:ascii="Times New Roman" w:hAnsi="Times New Roman" w:eastAsia="宋体" w:cs="Times New Roman"/>
                <w:b w:val="0"/>
                <w:i w:val="0"/>
                <w:iCs w:val="0"/>
                <w:caps w:val="0"/>
                <w:color w:val="000000"/>
                <w:spacing w:val="0"/>
                <w:sz w:val="24"/>
                <w:szCs w:val="24"/>
                <w:highlight w:val="none"/>
                <w:lang w:val="en-US" w:eastAsia="zh-CN"/>
              </w:rPr>
              <w:t>达到规范</w:t>
            </w:r>
            <w:r>
              <w:rPr>
                <w:rFonts w:hint="default" w:ascii="Times New Roman" w:hAnsi="Times New Roman" w:eastAsia="Segoe UI" w:cs="Times New Roman"/>
                <w:b w:val="0"/>
                <w:i w:val="0"/>
                <w:iCs w:val="0"/>
                <w:caps w:val="0"/>
                <w:color w:val="000000"/>
                <w:spacing w:val="0"/>
                <w:sz w:val="24"/>
                <w:szCs w:val="24"/>
                <w:highlight w:val="none"/>
              </w:rPr>
              <w:t>附录B要求≥95%</w:t>
            </w:r>
            <w:r>
              <w:rPr>
                <w:rFonts w:hint="default" w:ascii="Times New Roman" w:hAnsi="Times New Roman" w:eastAsia="宋体" w:cs="Times New Roman"/>
                <w:b w:val="0"/>
                <w:i w:val="0"/>
                <w:iCs w:val="0"/>
                <w:caps w:val="0"/>
                <w:color w:val="000000"/>
                <w:spacing w:val="0"/>
                <w:sz w:val="24"/>
                <w:szCs w:val="24"/>
                <w:highlight w:val="none"/>
                <w:lang w:eastAsia="zh-CN"/>
              </w:rPr>
              <w:t>。</w:t>
            </w:r>
          </w:p>
        </w:tc>
      </w:tr>
      <w:tr w14:paraId="43CD260B">
        <w:tblPrEx>
          <w:tblBorders>
            <w:top w:val="single" w:color="auto" w:sz="6" w:space="0"/>
            <w:left w:val="single" w:color="auto" w:sz="2" w:space="0"/>
            <w:bottom w:val="single" w:color="auto" w:sz="2" w:space="0"/>
            <w:right w:val="single" w:color="auto" w:sz="2" w:space="0"/>
            <w:insideH w:val="none" w:color="auto" w:sz="0" w:space="0"/>
            <w:insideV w:val="none" w:color="auto" w:sz="0" w:space="0"/>
          </w:tblBorders>
          <w:tblCellMar>
            <w:top w:w="80" w:type="dxa"/>
            <w:left w:w="128" w:type="dxa"/>
            <w:bottom w:w="80" w:type="dxa"/>
            <w:right w:w="128" w:type="dxa"/>
          </w:tblCellMar>
        </w:tblPrEx>
        <w:trPr>
          <w:trHeight w:val="0" w:hRule="atLeast"/>
          <w:jc w:val="center"/>
        </w:trPr>
        <w:tc>
          <w:tcPr>
            <w:tcW w:w="2364"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E5F3309">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宋体" w:cs="Times New Roman"/>
                <w:b w:val="0"/>
                <w:i w:val="0"/>
                <w:iCs w:val="0"/>
                <w:caps w:val="0"/>
                <w:color w:val="000000"/>
                <w:spacing w:val="0"/>
                <w:sz w:val="24"/>
                <w:szCs w:val="24"/>
                <w:highlight w:val="none"/>
                <w:lang w:val="en-US" w:eastAsia="zh-CN"/>
              </w:rPr>
            </w:pPr>
            <w:r>
              <w:rPr>
                <w:rFonts w:hint="eastAsia" w:ascii="Times New Roman" w:hAnsi="Times New Roman" w:eastAsia="宋体" w:cs="Times New Roman"/>
                <w:b w:val="0"/>
                <w:i w:val="0"/>
                <w:iCs w:val="0"/>
                <w:caps w:val="0"/>
                <w:color w:val="000000"/>
                <w:spacing w:val="0"/>
                <w:sz w:val="24"/>
                <w:szCs w:val="24"/>
                <w:highlight w:val="none"/>
                <w:lang w:val="en-US" w:eastAsia="zh-CN"/>
              </w:rPr>
              <w:t>5.3.3</w:t>
            </w:r>
          </w:p>
        </w:tc>
        <w:tc>
          <w:tcPr>
            <w:tcW w:w="41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EB6AB4B">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Segoe UI" w:cs="Times New Roman"/>
                <w:b w:val="0"/>
                <w:i w:val="0"/>
                <w:iCs w:val="0"/>
                <w:caps w:val="0"/>
                <w:color w:val="000000"/>
                <w:spacing w:val="0"/>
                <w:sz w:val="24"/>
                <w:szCs w:val="24"/>
                <w:highlight w:val="none"/>
              </w:rPr>
            </w:pPr>
            <w:r>
              <w:rPr>
                <w:rFonts w:hint="default" w:ascii="Times New Roman" w:hAnsi="Times New Roman" w:eastAsia="Segoe UI" w:cs="Times New Roman"/>
                <w:color w:val="000000"/>
                <w:sz w:val="24"/>
                <w:szCs w:val="24"/>
                <w:highlight w:val="none"/>
              </w:rPr>
              <w:t>施工单位应根据碳计量采集点确认需配备的碳计量器具种类、数量、准确度等级，并按附录B表B.2的要求形成文件。</w:t>
            </w:r>
          </w:p>
        </w:tc>
        <w:tc>
          <w:tcPr>
            <w:tcW w:w="762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222884C">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宋体" w:cs="Times New Roman"/>
                <w:b w:val="0"/>
                <w:i w:val="0"/>
                <w:iCs w:val="0"/>
                <w:caps w:val="0"/>
                <w:color w:val="000000"/>
                <w:spacing w:val="0"/>
                <w:sz w:val="24"/>
                <w:szCs w:val="24"/>
                <w:highlight w:val="none"/>
                <w:lang w:val="en-US" w:eastAsia="zh-CN"/>
              </w:rPr>
            </w:pPr>
            <w:r>
              <w:rPr>
                <w:rFonts w:hint="eastAsia" w:ascii="Times New Roman" w:hAnsi="Times New Roman" w:eastAsia="宋体" w:cs="Times New Roman"/>
                <w:b w:val="0"/>
                <w:i w:val="0"/>
                <w:iCs w:val="0"/>
                <w:caps w:val="0"/>
                <w:color w:val="000000"/>
                <w:spacing w:val="0"/>
                <w:sz w:val="24"/>
                <w:szCs w:val="24"/>
                <w:highlight w:val="none"/>
                <w:lang w:val="en-US" w:eastAsia="zh-CN"/>
              </w:rPr>
              <w:t>已</w:t>
            </w:r>
            <w:r>
              <w:rPr>
                <w:rFonts w:hint="eastAsia" w:ascii="Times New Roman" w:hAnsi="Times New Roman" w:eastAsia="宋体" w:cs="Times New Roman"/>
                <w:color w:val="000000"/>
                <w:sz w:val="24"/>
                <w:szCs w:val="24"/>
                <w:highlight w:val="none"/>
              </w:rPr>
              <w:t>根据碳计量采集点确认需配备的碳计量器具种类、数量、准确度等级</w:t>
            </w:r>
            <w:r>
              <w:rPr>
                <w:rFonts w:hint="eastAsia" w:ascii="Times New Roman" w:hAnsi="Times New Roman" w:eastAsia="宋体" w:cs="Times New Roman"/>
                <w:color w:val="000000"/>
                <w:sz w:val="24"/>
                <w:szCs w:val="24"/>
                <w:highlight w:val="none"/>
                <w:lang w:eastAsia="zh-CN"/>
              </w:rPr>
              <w:t>。</w:t>
            </w:r>
            <w:r>
              <w:rPr>
                <w:rFonts w:hint="eastAsia" w:ascii="Times New Roman" w:hAnsi="Times New Roman" w:eastAsia="宋体" w:cs="Times New Roman"/>
                <w:color w:val="000000"/>
                <w:sz w:val="24"/>
                <w:szCs w:val="24"/>
                <w:highlight w:val="none"/>
                <w:lang w:val="en-US" w:eastAsia="zh-CN"/>
              </w:rPr>
              <w:t>见本文件附表1。</w:t>
            </w:r>
          </w:p>
        </w:tc>
      </w:tr>
      <w:tr w14:paraId="70A2DE2A">
        <w:tblPrEx>
          <w:tblBorders>
            <w:top w:val="single" w:color="auto" w:sz="6" w:space="0"/>
            <w:left w:val="single" w:color="auto" w:sz="2" w:space="0"/>
            <w:bottom w:val="single" w:color="auto" w:sz="2" w:space="0"/>
            <w:right w:val="single" w:color="auto" w:sz="2" w:space="0"/>
            <w:insideH w:val="none" w:color="auto" w:sz="0" w:space="0"/>
            <w:insideV w:val="none" w:color="auto" w:sz="0" w:space="0"/>
          </w:tblBorders>
          <w:shd w:val="clear" w:color="auto" w:fill="FFFFFF"/>
          <w:tblCellMar>
            <w:top w:w="80" w:type="dxa"/>
            <w:left w:w="128" w:type="dxa"/>
            <w:bottom w:w="80" w:type="dxa"/>
            <w:right w:w="128" w:type="dxa"/>
          </w:tblCellMar>
        </w:tblPrEx>
        <w:trPr>
          <w:trHeight w:val="0" w:hRule="atLeast"/>
          <w:jc w:val="center"/>
        </w:trPr>
        <w:tc>
          <w:tcPr>
            <w:tcW w:w="14174"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14:paraId="3E54731B">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Segoe UI" w:cs="Times New Roman"/>
                <w:b w:val="0"/>
                <w:i w:val="0"/>
                <w:iCs w:val="0"/>
                <w:caps w:val="0"/>
                <w:color w:val="000000"/>
                <w:spacing w:val="0"/>
                <w:sz w:val="24"/>
                <w:szCs w:val="24"/>
                <w:highlight w:val="none"/>
              </w:rPr>
            </w:pPr>
            <w:r>
              <w:rPr>
                <w:rFonts w:hint="default" w:ascii="Times New Roman" w:hAnsi="Times New Roman" w:eastAsia="宋体" w:cs="Times New Roman"/>
                <w:b/>
                <w:bCs/>
                <w:i w:val="0"/>
                <w:iCs w:val="0"/>
                <w:caps w:val="0"/>
                <w:color w:val="000000"/>
                <w:spacing w:val="0"/>
                <w:sz w:val="24"/>
                <w:szCs w:val="24"/>
                <w:highlight w:val="none"/>
                <w:lang w:val="en-US" w:eastAsia="zh-CN"/>
              </w:rPr>
              <w:t>6 计量器具管理</w:t>
            </w:r>
          </w:p>
        </w:tc>
      </w:tr>
      <w:tr w14:paraId="5C00FAE7">
        <w:tblPrEx>
          <w:tblBorders>
            <w:top w:val="single" w:color="auto" w:sz="6" w:space="0"/>
            <w:left w:val="single" w:color="auto" w:sz="2" w:space="0"/>
            <w:bottom w:val="single" w:color="auto" w:sz="2" w:space="0"/>
            <w:right w:val="single" w:color="auto" w:sz="2" w:space="0"/>
            <w:insideH w:val="none" w:color="auto" w:sz="0" w:space="0"/>
            <w:insideV w:val="none" w:color="auto" w:sz="0" w:space="0"/>
          </w:tblBorders>
          <w:shd w:val="clear" w:color="auto" w:fill="FFFFFF"/>
          <w:tblCellMar>
            <w:top w:w="80" w:type="dxa"/>
            <w:left w:w="128" w:type="dxa"/>
            <w:bottom w:w="80" w:type="dxa"/>
            <w:right w:w="128" w:type="dxa"/>
          </w:tblCellMar>
        </w:tblPrEx>
        <w:trPr>
          <w:trHeight w:val="0" w:hRule="atLeast"/>
          <w:jc w:val="center"/>
        </w:trPr>
        <w:tc>
          <w:tcPr>
            <w:tcW w:w="2364" w:type="dxa"/>
            <w:vMerge w:val="restart"/>
            <w:tcBorders>
              <w:top w:val="single" w:color="000000" w:sz="4" w:space="0"/>
              <w:left w:val="single" w:color="000000" w:sz="4" w:space="0"/>
              <w:right w:val="single" w:color="000000" w:sz="4" w:space="0"/>
            </w:tcBorders>
            <w:shd w:val="clear" w:color="auto" w:fill="FFFFFF"/>
            <w:vAlign w:val="center"/>
          </w:tcPr>
          <w:p w14:paraId="7189321C">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宋体" w:cs="Times New Roman"/>
                <w:b w:val="0"/>
                <w:i w:val="0"/>
                <w:iCs w:val="0"/>
                <w:caps w:val="0"/>
                <w:color w:val="000000"/>
                <w:spacing w:val="0"/>
                <w:sz w:val="24"/>
                <w:szCs w:val="24"/>
                <w:highlight w:val="none"/>
                <w:lang w:val="en-US" w:eastAsia="zh-CN"/>
              </w:rPr>
            </w:pPr>
            <w:r>
              <w:rPr>
                <w:rFonts w:hint="default" w:ascii="Times New Roman" w:hAnsi="Times New Roman" w:eastAsia="宋体" w:cs="Times New Roman"/>
                <w:b w:val="0"/>
                <w:i w:val="0"/>
                <w:iCs w:val="0"/>
                <w:caps w:val="0"/>
                <w:color w:val="000000"/>
                <w:spacing w:val="0"/>
                <w:sz w:val="24"/>
                <w:szCs w:val="24"/>
                <w:highlight w:val="none"/>
                <w:lang w:val="en-US" w:eastAsia="zh-CN"/>
              </w:rPr>
              <w:t>6.1 碳排放计量管理制度</w:t>
            </w:r>
          </w:p>
        </w:tc>
        <w:tc>
          <w:tcPr>
            <w:tcW w:w="41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6A1D721">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Segoe UI" w:cs="Times New Roman"/>
                <w:b w:val="0"/>
                <w:i w:val="0"/>
                <w:iCs w:val="0"/>
                <w:caps w:val="0"/>
                <w:color w:val="000000"/>
                <w:spacing w:val="0"/>
                <w:sz w:val="24"/>
                <w:szCs w:val="24"/>
                <w:highlight w:val="none"/>
              </w:rPr>
            </w:pPr>
            <w:r>
              <w:rPr>
                <w:rFonts w:hint="default" w:ascii="Times New Roman" w:hAnsi="Times New Roman" w:eastAsia="Segoe UI" w:cs="Times New Roman"/>
                <w:b w:val="0"/>
                <w:i w:val="0"/>
                <w:iCs w:val="0"/>
                <w:caps w:val="0"/>
                <w:color w:val="000000"/>
                <w:spacing w:val="0"/>
                <w:sz w:val="24"/>
                <w:szCs w:val="24"/>
                <w:highlight w:val="none"/>
              </w:rPr>
              <w:t>6.1.1施工阶段碳排放应按GB/T 19022建立测量管理体系，保持并持续改进其有效性。</w:t>
            </w:r>
          </w:p>
        </w:tc>
        <w:tc>
          <w:tcPr>
            <w:tcW w:w="762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5CC295C">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宋体" w:cs="Times New Roman"/>
                <w:b w:val="0"/>
                <w:i w:val="0"/>
                <w:iCs w:val="0"/>
                <w:caps w:val="0"/>
                <w:color w:val="000000"/>
                <w:spacing w:val="0"/>
                <w:sz w:val="24"/>
                <w:szCs w:val="24"/>
                <w:highlight w:val="none"/>
                <w:lang w:eastAsia="zh-CN"/>
              </w:rPr>
            </w:pPr>
            <w:r>
              <w:rPr>
                <w:rFonts w:hint="default" w:ascii="Times New Roman" w:hAnsi="Times New Roman" w:eastAsia="Segoe UI" w:cs="Times New Roman"/>
                <w:b w:val="0"/>
                <w:i w:val="0"/>
                <w:iCs w:val="0"/>
                <w:caps w:val="0"/>
                <w:color w:val="000000"/>
                <w:spacing w:val="0"/>
                <w:sz w:val="24"/>
                <w:szCs w:val="24"/>
                <w:highlight w:val="none"/>
              </w:rPr>
              <w:t>已建立符合GB/T 19022的测量管理体系，包含“计量器具全生命周期管理”“数据质量控制”等核心模块，并通过第三方审核</w:t>
            </w:r>
            <w:r>
              <w:rPr>
                <w:rFonts w:hint="default" w:ascii="Times New Roman" w:hAnsi="Times New Roman" w:eastAsia="宋体" w:cs="Times New Roman"/>
                <w:b w:val="0"/>
                <w:i w:val="0"/>
                <w:iCs w:val="0"/>
                <w:caps w:val="0"/>
                <w:color w:val="000000"/>
                <w:spacing w:val="0"/>
                <w:sz w:val="24"/>
                <w:szCs w:val="24"/>
                <w:highlight w:val="none"/>
                <w:lang w:eastAsia="zh-CN"/>
              </w:rPr>
              <w:t>。</w:t>
            </w:r>
          </w:p>
        </w:tc>
      </w:tr>
      <w:tr w14:paraId="1DC8472C">
        <w:tblPrEx>
          <w:tblBorders>
            <w:top w:val="single" w:color="auto" w:sz="6" w:space="0"/>
            <w:left w:val="single" w:color="auto" w:sz="2" w:space="0"/>
            <w:bottom w:val="single" w:color="auto" w:sz="2" w:space="0"/>
            <w:right w:val="single" w:color="auto" w:sz="2" w:space="0"/>
            <w:insideH w:val="none" w:color="auto" w:sz="0" w:space="0"/>
            <w:insideV w:val="none" w:color="auto" w:sz="0" w:space="0"/>
          </w:tblBorders>
          <w:tblCellMar>
            <w:top w:w="80" w:type="dxa"/>
            <w:left w:w="128" w:type="dxa"/>
            <w:bottom w:w="80" w:type="dxa"/>
            <w:right w:w="128" w:type="dxa"/>
          </w:tblCellMar>
        </w:tblPrEx>
        <w:trPr>
          <w:trHeight w:val="0" w:hRule="atLeast"/>
          <w:jc w:val="center"/>
        </w:trPr>
        <w:tc>
          <w:tcPr>
            <w:tcW w:w="2364" w:type="dxa"/>
            <w:vMerge w:val="continue"/>
            <w:tcBorders>
              <w:left w:val="single" w:color="000000" w:sz="4" w:space="0"/>
              <w:bottom w:val="single" w:color="000000" w:sz="4" w:space="0"/>
              <w:right w:val="single" w:color="000000" w:sz="4" w:space="0"/>
            </w:tcBorders>
            <w:shd w:val="clear" w:color="auto" w:fill="FFFFFF"/>
            <w:vAlign w:val="center"/>
          </w:tcPr>
          <w:p w14:paraId="1F2D130E">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宋体" w:cs="Times New Roman"/>
                <w:b w:val="0"/>
                <w:i w:val="0"/>
                <w:iCs w:val="0"/>
                <w:caps w:val="0"/>
                <w:color w:val="000000"/>
                <w:spacing w:val="0"/>
                <w:sz w:val="24"/>
                <w:szCs w:val="24"/>
                <w:highlight w:val="none"/>
                <w:lang w:val="en-US" w:eastAsia="zh-CN"/>
              </w:rPr>
            </w:pPr>
          </w:p>
        </w:tc>
        <w:tc>
          <w:tcPr>
            <w:tcW w:w="41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8473AD7">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Segoe UI" w:cs="Times New Roman"/>
                <w:b w:val="0"/>
                <w:i w:val="0"/>
                <w:iCs w:val="0"/>
                <w:caps w:val="0"/>
                <w:color w:val="000000"/>
                <w:spacing w:val="0"/>
                <w:sz w:val="24"/>
                <w:szCs w:val="24"/>
                <w:highlight w:val="none"/>
              </w:rPr>
            </w:pPr>
            <w:r>
              <w:rPr>
                <w:rFonts w:hint="default" w:ascii="Times New Roman" w:hAnsi="Times New Roman" w:eastAsia="Segoe UI" w:cs="Times New Roman"/>
                <w:b w:val="0"/>
                <w:i w:val="0"/>
                <w:iCs w:val="0"/>
                <w:caps w:val="0"/>
                <w:color w:val="000000"/>
                <w:spacing w:val="0"/>
                <w:sz w:val="24"/>
                <w:szCs w:val="24"/>
                <w:highlight w:val="none"/>
              </w:rPr>
              <w:t>6.1.2施工阶段碳排放应建立、保持和使用文件化的程序来规范碳排放计量人员行为、碳排放计量器具管理、碳排放计量数据的采集处理和汇总。</w:t>
            </w:r>
          </w:p>
        </w:tc>
        <w:tc>
          <w:tcPr>
            <w:tcW w:w="762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595BFEC">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Segoe UI" w:cs="Times New Roman"/>
                <w:b w:val="0"/>
                <w:i w:val="0"/>
                <w:iCs w:val="0"/>
                <w:caps w:val="0"/>
                <w:color w:val="000000"/>
                <w:spacing w:val="0"/>
                <w:sz w:val="24"/>
                <w:szCs w:val="24"/>
                <w:highlight w:val="none"/>
              </w:rPr>
            </w:pPr>
            <w:r>
              <w:rPr>
                <w:rFonts w:hint="default" w:ascii="Times New Roman" w:hAnsi="Times New Roman" w:eastAsia="Segoe UI" w:cs="Times New Roman"/>
                <w:b w:val="0"/>
                <w:i w:val="0"/>
                <w:iCs w:val="0"/>
                <w:caps w:val="0"/>
                <w:color w:val="000000"/>
                <w:spacing w:val="0"/>
                <w:sz w:val="24"/>
                <w:szCs w:val="24"/>
                <w:highlight w:val="none"/>
              </w:rPr>
              <w:t>制定《建筑施工阶段碳计量管理制度》，明确人员岗位职责（如计量员负责每日抄表、管理员负责器具检定）、器具采购-安装-报废流程、数据采集-汇总-上报规范，所有程序均以文件形式存档。</w:t>
            </w:r>
          </w:p>
        </w:tc>
      </w:tr>
      <w:tr w14:paraId="2222BB7E">
        <w:tblPrEx>
          <w:tblBorders>
            <w:top w:val="single" w:color="auto" w:sz="6" w:space="0"/>
            <w:left w:val="single" w:color="auto" w:sz="2" w:space="0"/>
            <w:bottom w:val="single" w:color="auto" w:sz="2" w:space="0"/>
            <w:right w:val="single" w:color="auto" w:sz="2" w:space="0"/>
            <w:insideH w:val="none" w:color="auto" w:sz="0" w:space="0"/>
            <w:insideV w:val="none" w:color="auto" w:sz="0" w:space="0"/>
          </w:tblBorders>
          <w:tblCellMar>
            <w:top w:w="80" w:type="dxa"/>
            <w:left w:w="128" w:type="dxa"/>
            <w:bottom w:w="80" w:type="dxa"/>
            <w:right w:w="128" w:type="dxa"/>
          </w:tblCellMar>
        </w:tblPrEx>
        <w:trPr>
          <w:trHeight w:val="0" w:hRule="atLeast"/>
          <w:jc w:val="center"/>
        </w:trPr>
        <w:tc>
          <w:tcPr>
            <w:tcW w:w="14174"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14:paraId="7AA189D4">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Segoe UI" w:cs="Times New Roman"/>
                <w:b w:val="0"/>
                <w:i w:val="0"/>
                <w:iCs w:val="0"/>
                <w:caps w:val="0"/>
                <w:color w:val="000000"/>
                <w:spacing w:val="0"/>
                <w:sz w:val="24"/>
                <w:szCs w:val="24"/>
                <w:highlight w:val="none"/>
              </w:rPr>
            </w:pPr>
            <w:r>
              <w:rPr>
                <w:rFonts w:hint="default" w:ascii="Times New Roman" w:hAnsi="Times New Roman" w:eastAsia="宋体" w:cs="Times New Roman"/>
                <w:b w:val="0"/>
                <w:i w:val="0"/>
                <w:iCs w:val="0"/>
                <w:caps w:val="0"/>
                <w:color w:val="000000"/>
                <w:spacing w:val="0"/>
                <w:sz w:val="24"/>
                <w:szCs w:val="24"/>
                <w:highlight w:val="none"/>
                <w:lang w:val="en-US" w:eastAsia="zh-CN"/>
              </w:rPr>
              <w:t>6.2 碳排放计量人员</w:t>
            </w:r>
          </w:p>
        </w:tc>
      </w:tr>
      <w:tr w14:paraId="6480D7B3">
        <w:tblPrEx>
          <w:tblBorders>
            <w:top w:val="single" w:color="auto" w:sz="6" w:space="0"/>
            <w:left w:val="single" w:color="auto" w:sz="2" w:space="0"/>
            <w:bottom w:val="single" w:color="auto" w:sz="2" w:space="0"/>
            <w:right w:val="single" w:color="auto" w:sz="2" w:space="0"/>
            <w:insideH w:val="none" w:color="auto" w:sz="0" w:space="0"/>
            <w:insideV w:val="none" w:color="auto" w:sz="0" w:space="0"/>
          </w:tblBorders>
          <w:shd w:val="clear" w:color="auto" w:fill="FFFFFF"/>
          <w:tblCellMar>
            <w:top w:w="80" w:type="dxa"/>
            <w:left w:w="128" w:type="dxa"/>
            <w:bottom w:w="80" w:type="dxa"/>
            <w:right w:w="128" w:type="dxa"/>
          </w:tblCellMar>
        </w:tblPrEx>
        <w:trPr>
          <w:trHeight w:val="0" w:hRule="atLeast"/>
          <w:jc w:val="center"/>
        </w:trPr>
        <w:tc>
          <w:tcPr>
            <w:tcW w:w="6549"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583D8504">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Segoe UI" w:cs="Times New Roman"/>
                <w:b w:val="0"/>
                <w:i w:val="0"/>
                <w:iCs w:val="0"/>
                <w:caps w:val="0"/>
                <w:color w:val="000000"/>
                <w:spacing w:val="0"/>
                <w:sz w:val="24"/>
                <w:szCs w:val="24"/>
                <w:highlight w:val="none"/>
              </w:rPr>
            </w:pPr>
            <w:r>
              <w:rPr>
                <w:rFonts w:hint="default" w:ascii="Times New Roman" w:hAnsi="Times New Roman" w:eastAsia="Segoe UI" w:cs="Times New Roman"/>
                <w:b w:val="0"/>
                <w:i w:val="0"/>
                <w:iCs w:val="0"/>
                <w:caps w:val="0"/>
                <w:color w:val="000000"/>
                <w:spacing w:val="0"/>
                <w:sz w:val="24"/>
                <w:szCs w:val="24"/>
                <w:highlight w:val="none"/>
              </w:rPr>
              <w:t>6.2.1 应设专人负责碳排放计量器具的配备、使用、检定（校准）、维修、更新、报废等管理工作。</w:t>
            </w:r>
          </w:p>
        </w:tc>
        <w:tc>
          <w:tcPr>
            <w:tcW w:w="762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3658FAB">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宋体" w:cs="Times New Roman"/>
                <w:b w:val="0"/>
                <w:i w:val="0"/>
                <w:iCs w:val="0"/>
                <w:caps w:val="0"/>
                <w:color w:val="000000"/>
                <w:spacing w:val="0"/>
                <w:sz w:val="24"/>
                <w:szCs w:val="24"/>
                <w:highlight w:val="none"/>
                <w:lang w:eastAsia="zh-CN"/>
              </w:rPr>
            </w:pPr>
            <w:r>
              <w:rPr>
                <w:rFonts w:hint="default" w:ascii="Times New Roman" w:hAnsi="Times New Roman" w:eastAsia="Segoe UI" w:cs="Times New Roman"/>
                <w:b w:val="0"/>
                <w:i w:val="0"/>
                <w:iCs w:val="0"/>
                <w:caps w:val="0"/>
                <w:color w:val="000000"/>
                <w:spacing w:val="0"/>
                <w:sz w:val="24"/>
                <w:szCs w:val="24"/>
                <w:highlight w:val="none"/>
              </w:rPr>
              <w:t>成立“碳计量管理小组”，由顾磊任组长，专人负责器具配备、检定、维修等工作</w:t>
            </w:r>
            <w:r>
              <w:rPr>
                <w:rFonts w:hint="default" w:ascii="Times New Roman" w:hAnsi="Times New Roman" w:eastAsia="宋体" w:cs="Times New Roman"/>
                <w:b w:val="0"/>
                <w:i w:val="0"/>
                <w:iCs w:val="0"/>
                <w:caps w:val="0"/>
                <w:color w:val="000000"/>
                <w:spacing w:val="0"/>
                <w:sz w:val="24"/>
                <w:szCs w:val="24"/>
                <w:highlight w:val="none"/>
                <w:lang w:eastAsia="zh-CN"/>
              </w:rPr>
              <w:t>。</w:t>
            </w:r>
          </w:p>
        </w:tc>
      </w:tr>
      <w:tr w14:paraId="7A663531">
        <w:tblPrEx>
          <w:tblBorders>
            <w:top w:val="single" w:color="auto" w:sz="6" w:space="0"/>
            <w:left w:val="single" w:color="auto" w:sz="2" w:space="0"/>
            <w:bottom w:val="single" w:color="auto" w:sz="2" w:space="0"/>
            <w:right w:val="single" w:color="auto" w:sz="2" w:space="0"/>
            <w:insideH w:val="none" w:color="auto" w:sz="0" w:space="0"/>
            <w:insideV w:val="none" w:color="auto" w:sz="0" w:space="0"/>
          </w:tblBorders>
          <w:shd w:val="clear" w:color="auto" w:fill="FFFFFF"/>
          <w:tblCellMar>
            <w:top w:w="80" w:type="dxa"/>
            <w:left w:w="128" w:type="dxa"/>
            <w:bottom w:w="80" w:type="dxa"/>
            <w:right w:w="128" w:type="dxa"/>
          </w:tblCellMar>
        </w:tblPrEx>
        <w:trPr>
          <w:trHeight w:val="0" w:hRule="atLeast"/>
          <w:jc w:val="center"/>
        </w:trPr>
        <w:tc>
          <w:tcPr>
            <w:tcW w:w="6549"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362B8DA1">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Segoe UI" w:cs="Times New Roman"/>
                <w:b w:val="0"/>
                <w:i w:val="0"/>
                <w:iCs w:val="0"/>
                <w:caps w:val="0"/>
                <w:color w:val="000000"/>
                <w:spacing w:val="0"/>
                <w:sz w:val="24"/>
                <w:szCs w:val="24"/>
                <w:highlight w:val="none"/>
              </w:rPr>
            </w:pPr>
            <w:r>
              <w:rPr>
                <w:rFonts w:hint="default" w:ascii="Times New Roman" w:hAnsi="Times New Roman" w:eastAsia="Segoe UI" w:cs="Times New Roman"/>
                <w:b w:val="0"/>
                <w:i w:val="0"/>
                <w:iCs w:val="0"/>
                <w:caps w:val="0"/>
                <w:color w:val="000000"/>
                <w:spacing w:val="0"/>
                <w:sz w:val="24"/>
                <w:szCs w:val="24"/>
                <w:highlight w:val="none"/>
              </w:rPr>
              <w:t>6.2.2 碳排放计量管理人员、操作人员和计量器具维修人员，应通过培训考核，持证上岗。</w:t>
            </w:r>
          </w:p>
        </w:tc>
        <w:tc>
          <w:tcPr>
            <w:tcW w:w="762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F608554">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宋体" w:cs="Times New Roman"/>
                <w:b w:val="0"/>
                <w:i w:val="0"/>
                <w:iCs w:val="0"/>
                <w:caps w:val="0"/>
                <w:color w:val="000000"/>
                <w:spacing w:val="0"/>
                <w:sz w:val="24"/>
                <w:szCs w:val="24"/>
                <w:highlight w:val="none"/>
                <w:lang w:eastAsia="zh-CN"/>
              </w:rPr>
            </w:pPr>
            <w:r>
              <w:rPr>
                <w:rFonts w:hint="default" w:ascii="Times New Roman" w:hAnsi="Times New Roman" w:eastAsia="Segoe UI" w:cs="Times New Roman"/>
                <w:b w:val="0"/>
                <w:i w:val="0"/>
                <w:iCs w:val="0"/>
                <w:caps w:val="0"/>
                <w:color w:val="000000"/>
                <w:spacing w:val="0"/>
                <w:sz w:val="24"/>
                <w:szCs w:val="24"/>
                <w:highlight w:val="none"/>
              </w:rPr>
              <w:t>小组12名成员（含孙锦程、王沁芳等）均参加</w:t>
            </w:r>
            <w:r>
              <w:rPr>
                <w:rFonts w:hint="default" w:ascii="Times New Roman" w:hAnsi="Times New Roman" w:eastAsia="宋体" w:cs="Times New Roman"/>
                <w:b w:val="0"/>
                <w:i w:val="0"/>
                <w:iCs w:val="0"/>
                <w:caps w:val="0"/>
                <w:color w:val="000000"/>
                <w:spacing w:val="0"/>
                <w:sz w:val="24"/>
                <w:szCs w:val="24"/>
                <w:highlight w:val="none"/>
                <w:lang w:val="en-US" w:eastAsia="zh-CN"/>
              </w:rPr>
              <w:t>内部组织的</w:t>
            </w:r>
            <w:r>
              <w:rPr>
                <w:rFonts w:hint="default" w:ascii="Times New Roman" w:hAnsi="Times New Roman" w:eastAsia="Segoe UI" w:cs="Times New Roman"/>
                <w:b w:val="0"/>
                <w:i w:val="0"/>
                <w:iCs w:val="0"/>
                <w:caps w:val="0"/>
                <w:color w:val="000000"/>
                <w:spacing w:val="0"/>
                <w:sz w:val="24"/>
                <w:szCs w:val="24"/>
                <w:highlight w:val="none"/>
              </w:rPr>
              <w:t>建筑碳计量实操培训，</w:t>
            </w:r>
            <w:r>
              <w:rPr>
                <w:rFonts w:hint="default" w:ascii="Times New Roman" w:hAnsi="Times New Roman" w:eastAsia="宋体" w:cs="Times New Roman"/>
                <w:b w:val="0"/>
                <w:i w:val="0"/>
                <w:iCs w:val="0"/>
                <w:caps w:val="0"/>
                <w:color w:val="000000"/>
                <w:spacing w:val="0"/>
                <w:sz w:val="24"/>
                <w:szCs w:val="24"/>
                <w:highlight w:val="none"/>
                <w:lang w:val="en-US" w:eastAsia="zh-CN"/>
              </w:rPr>
              <w:t>聘请专业人员进行</w:t>
            </w:r>
            <w:r>
              <w:rPr>
                <w:rFonts w:hint="default" w:ascii="Times New Roman" w:hAnsi="Times New Roman" w:eastAsia="Segoe UI" w:cs="Times New Roman"/>
                <w:b w:val="0"/>
                <w:i w:val="0"/>
                <w:iCs w:val="0"/>
                <w:caps w:val="0"/>
                <w:color w:val="000000"/>
                <w:spacing w:val="0"/>
                <w:sz w:val="24"/>
                <w:szCs w:val="24"/>
                <w:highlight w:val="none"/>
              </w:rPr>
              <w:t>碳排放计量管理</w:t>
            </w:r>
            <w:r>
              <w:rPr>
                <w:rFonts w:hint="default" w:ascii="Times New Roman" w:hAnsi="Times New Roman" w:eastAsia="宋体" w:cs="Times New Roman"/>
                <w:b w:val="0"/>
                <w:i w:val="0"/>
                <w:iCs w:val="0"/>
                <w:caps w:val="0"/>
                <w:color w:val="000000"/>
                <w:spacing w:val="0"/>
                <w:sz w:val="24"/>
                <w:szCs w:val="24"/>
                <w:highlight w:val="none"/>
                <w:lang w:val="en-US" w:eastAsia="zh-CN"/>
              </w:rPr>
              <w:t>相关要求的讲解，</w:t>
            </w:r>
            <w:r>
              <w:rPr>
                <w:rFonts w:hint="default" w:ascii="Times New Roman" w:hAnsi="Times New Roman" w:eastAsia="Segoe UI" w:cs="Times New Roman"/>
                <w:b w:val="0"/>
                <w:i w:val="0"/>
                <w:iCs w:val="0"/>
                <w:caps w:val="0"/>
                <w:color w:val="000000"/>
                <w:spacing w:val="0"/>
                <w:sz w:val="24"/>
                <w:szCs w:val="24"/>
                <w:highlight w:val="none"/>
              </w:rPr>
              <w:t>考核合格后持《碳计量人员上岗证书》上岗</w:t>
            </w:r>
            <w:r>
              <w:rPr>
                <w:rFonts w:hint="default" w:ascii="Times New Roman" w:hAnsi="Times New Roman" w:eastAsia="宋体" w:cs="Times New Roman"/>
                <w:b w:val="0"/>
                <w:i w:val="0"/>
                <w:iCs w:val="0"/>
                <w:caps w:val="0"/>
                <w:color w:val="000000"/>
                <w:spacing w:val="0"/>
                <w:sz w:val="24"/>
                <w:szCs w:val="24"/>
                <w:highlight w:val="none"/>
                <w:lang w:eastAsia="zh-CN"/>
              </w:rPr>
              <w:t>。</w:t>
            </w:r>
          </w:p>
        </w:tc>
      </w:tr>
      <w:tr w14:paraId="3535ED37">
        <w:tblPrEx>
          <w:tblBorders>
            <w:top w:val="single" w:color="auto" w:sz="6" w:space="0"/>
            <w:left w:val="single" w:color="auto" w:sz="2" w:space="0"/>
            <w:bottom w:val="single" w:color="auto" w:sz="2" w:space="0"/>
            <w:right w:val="single" w:color="auto" w:sz="2" w:space="0"/>
            <w:insideH w:val="none" w:color="auto" w:sz="0" w:space="0"/>
            <w:insideV w:val="none" w:color="auto" w:sz="0" w:space="0"/>
          </w:tblBorders>
          <w:tblCellMar>
            <w:top w:w="80" w:type="dxa"/>
            <w:left w:w="128" w:type="dxa"/>
            <w:bottom w:w="80" w:type="dxa"/>
            <w:right w:w="128" w:type="dxa"/>
          </w:tblCellMar>
        </w:tblPrEx>
        <w:trPr>
          <w:trHeight w:val="0" w:hRule="atLeast"/>
          <w:jc w:val="center"/>
        </w:trPr>
        <w:tc>
          <w:tcPr>
            <w:tcW w:w="6549"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23A58517">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Segoe UI" w:cs="Times New Roman"/>
                <w:b w:val="0"/>
                <w:i w:val="0"/>
                <w:iCs w:val="0"/>
                <w:caps w:val="0"/>
                <w:color w:val="000000"/>
                <w:spacing w:val="0"/>
                <w:sz w:val="24"/>
                <w:szCs w:val="24"/>
                <w:highlight w:val="none"/>
              </w:rPr>
            </w:pPr>
            <w:r>
              <w:rPr>
                <w:rFonts w:hint="default" w:ascii="Times New Roman" w:hAnsi="Times New Roman" w:eastAsia="Segoe UI" w:cs="Times New Roman"/>
                <w:b w:val="0"/>
                <w:i w:val="0"/>
                <w:iCs w:val="0"/>
                <w:caps w:val="0"/>
                <w:color w:val="000000"/>
                <w:spacing w:val="0"/>
                <w:sz w:val="24"/>
                <w:szCs w:val="24"/>
                <w:highlight w:val="none"/>
              </w:rPr>
              <w:t>6.2.3 碳排放计量器具的检定、校准人员应具有相应的资质。</w:t>
            </w:r>
          </w:p>
        </w:tc>
        <w:tc>
          <w:tcPr>
            <w:tcW w:w="762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8EEB30D">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Segoe UI" w:cs="Times New Roman"/>
                <w:b w:val="0"/>
                <w:i w:val="0"/>
                <w:iCs w:val="0"/>
                <w:caps w:val="0"/>
                <w:color w:val="000000"/>
                <w:spacing w:val="0"/>
                <w:sz w:val="24"/>
                <w:szCs w:val="24"/>
                <w:highlight w:val="none"/>
              </w:rPr>
            </w:pPr>
            <w:r>
              <w:rPr>
                <w:rFonts w:hint="default" w:ascii="Times New Roman" w:hAnsi="Times New Roman" w:eastAsia="Segoe UI" w:cs="Times New Roman"/>
                <w:b w:val="0"/>
                <w:i w:val="0"/>
                <w:iCs w:val="0"/>
                <w:caps w:val="0"/>
                <w:color w:val="000000"/>
                <w:spacing w:val="0"/>
                <w:sz w:val="24"/>
                <w:szCs w:val="24"/>
                <w:highlight w:val="none"/>
              </w:rPr>
              <w:t>器具检定委托“江苏省计量科学研究院”“珠海安测计量服务有限公司”等具备CMA资质的机构，检定人员持计量检定员证。</w:t>
            </w:r>
          </w:p>
        </w:tc>
      </w:tr>
      <w:tr w14:paraId="4728718A">
        <w:tblPrEx>
          <w:tblBorders>
            <w:top w:val="single" w:color="auto" w:sz="6" w:space="0"/>
            <w:left w:val="single" w:color="auto" w:sz="2" w:space="0"/>
            <w:bottom w:val="single" w:color="auto" w:sz="2" w:space="0"/>
            <w:right w:val="single" w:color="auto" w:sz="2" w:space="0"/>
            <w:insideH w:val="none" w:color="auto" w:sz="0" w:space="0"/>
            <w:insideV w:val="none" w:color="auto" w:sz="0" w:space="0"/>
          </w:tblBorders>
          <w:tblCellMar>
            <w:top w:w="80" w:type="dxa"/>
            <w:left w:w="128" w:type="dxa"/>
            <w:bottom w:w="80" w:type="dxa"/>
            <w:right w:w="128" w:type="dxa"/>
          </w:tblCellMar>
        </w:tblPrEx>
        <w:trPr>
          <w:trHeight w:val="0" w:hRule="atLeast"/>
          <w:jc w:val="center"/>
        </w:trPr>
        <w:tc>
          <w:tcPr>
            <w:tcW w:w="14174"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14:paraId="0BC41E52">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Segoe UI" w:cs="Times New Roman"/>
                <w:b w:val="0"/>
                <w:i w:val="0"/>
                <w:iCs w:val="0"/>
                <w:caps w:val="0"/>
                <w:color w:val="000000"/>
                <w:spacing w:val="0"/>
                <w:sz w:val="24"/>
                <w:szCs w:val="24"/>
                <w:highlight w:val="none"/>
              </w:rPr>
            </w:pPr>
            <w:r>
              <w:rPr>
                <w:rFonts w:hint="default" w:ascii="Times New Roman" w:hAnsi="Times New Roman" w:eastAsia="Segoe UI" w:cs="Times New Roman"/>
                <w:b w:val="0"/>
                <w:i w:val="0"/>
                <w:iCs w:val="0"/>
                <w:caps w:val="0"/>
                <w:color w:val="000000"/>
                <w:spacing w:val="0"/>
                <w:sz w:val="24"/>
                <w:szCs w:val="24"/>
                <w:highlight w:val="none"/>
              </w:rPr>
              <w:t>6.3 碳排放计量器具</w:t>
            </w:r>
          </w:p>
        </w:tc>
      </w:tr>
      <w:tr w14:paraId="2F166F75">
        <w:tblPrEx>
          <w:tblBorders>
            <w:top w:val="single" w:color="auto" w:sz="6" w:space="0"/>
            <w:left w:val="single" w:color="auto" w:sz="2" w:space="0"/>
            <w:bottom w:val="single" w:color="auto" w:sz="2" w:space="0"/>
            <w:right w:val="single" w:color="auto" w:sz="2" w:space="0"/>
            <w:insideH w:val="none" w:color="auto" w:sz="0" w:space="0"/>
            <w:insideV w:val="none" w:color="auto" w:sz="0" w:space="0"/>
          </w:tblBorders>
          <w:tblCellMar>
            <w:top w:w="80" w:type="dxa"/>
            <w:left w:w="128" w:type="dxa"/>
            <w:bottom w:w="80" w:type="dxa"/>
            <w:right w:w="128" w:type="dxa"/>
          </w:tblCellMar>
        </w:tblPrEx>
        <w:trPr>
          <w:trHeight w:val="0" w:hRule="atLeast"/>
          <w:jc w:val="center"/>
        </w:trPr>
        <w:tc>
          <w:tcPr>
            <w:tcW w:w="6549"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7FE2C3C0">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Segoe UI" w:cs="Times New Roman"/>
                <w:b w:val="0"/>
                <w:i w:val="0"/>
                <w:iCs w:val="0"/>
                <w:caps w:val="0"/>
                <w:color w:val="000000"/>
                <w:spacing w:val="0"/>
                <w:sz w:val="24"/>
                <w:szCs w:val="24"/>
                <w:highlight w:val="none"/>
              </w:rPr>
            </w:pPr>
            <w:r>
              <w:rPr>
                <w:rFonts w:hint="default" w:ascii="Times New Roman" w:hAnsi="Times New Roman" w:eastAsia="Segoe UI" w:cs="Times New Roman"/>
                <w:b w:val="0"/>
                <w:i w:val="0"/>
                <w:iCs w:val="0"/>
                <w:caps w:val="0"/>
                <w:color w:val="000000"/>
                <w:spacing w:val="0"/>
                <w:sz w:val="24"/>
                <w:szCs w:val="24"/>
                <w:highlight w:val="none"/>
              </w:rPr>
              <w:t>6.3.1 应备有完整的碳排放计量器具一览表，并及时进行更新。表中应列出计量器具的名称、型号规格、计量性能、检定（校准）周期、检定（校准）单位、测量范围、生产厂家、出厂编号、用能单位管理编号、安装使用地点、状态（合格、准用、停用等）。</w:t>
            </w:r>
          </w:p>
        </w:tc>
        <w:tc>
          <w:tcPr>
            <w:tcW w:w="762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5750462">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宋体" w:cs="Times New Roman"/>
                <w:b w:val="0"/>
                <w:i w:val="0"/>
                <w:iCs w:val="0"/>
                <w:caps w:val="0"/>
                <w:color w:val="000000"/>
                <w:spacing w:val="0"/>
                <w:sz w:val="24"/>
                <w:szCs w:val="24"/>
                <w:highlight w:val="none"/>
                <w:lang w:eastAsia="zh-CN"/>
              </w:rPr>
            </w:pPr>
            <w:r>
              <w:rPr>
                <w:rFonts w:hint="default" w:ascii="Times New Roman" w:hAnsi="Times New Roman" w:eastAsia="Segoe UI" w:cs="Times New Roman"/>
                <w:b w:val="0"/>
                <w:i w:val="0"/>
                <w:iCs w:val="0"/>
                <w:caps w:val="0"/>
                <w:color w:val="000000"/>
                <w:spacing w:val="0"/>
                <w:sz w:val="24"/>
                <w:szCs w:val="24"/>
                <w:highlight w:val="none"/>
              </w:rPr>
              <w:t>建立《碳排放计量器具一览表》，列明器具名称（如电子式电能表）、型号、检定周期、安装位置、状态（合格/停用），新增/更换器具时3日内更新</w:t>
            </w:r>
            <w:r>
              <w:rPr>
                <w:rFonts w:hint="default" w:ascii="Times New Roman" w:hAnsi="Times New Roman" w:eastAsia="宋体" w:cs="Times New Roman"/>
                <w:b w:val="0"/>
                <w:i w:val="0"/>
                <w:iCs w:val="0"/>
                <w:caps w:val="0"/>
                <w:color w:val="000000"/>
                <w:spacing w:val="0"/>
                <w:sz w:val="24"/>
                <w:szCs w:val="24"/>
                <w:highlight w:val="none"/>
                <w:lang w:eastAsia="zh-CN"/>
              </w:rPr>
              <w:t>。</w:t>
            </w:r>
          </w:p>
        </w:tc>
      </w:tr>
      <w:tr w14:paraId="3A687EC5">
        <w:tblPrEx>
          <w:tblBorders>
            <w:top w:val="single" w:color="auto" w:sz="6" w:space="0"/>
            <w:left w:val="single" w:color="auto" w:sz="2" w:space="0"/>
            <w:bottom w:val="single" w:color="auto" w:sz="2" w:space="0"/>
            <w:right w:val="single" w:color="auto" w:sz="2" w:space="0"/>
            <w:insideH w:val="none" w:color="auto" w:sz="0" w:space="0"/>
            <w:insideV w:val="none" w:color="auto" w:sz="0" w:space="0"/>
          </w:tblBorders>
          <w:shd w:val="clear" w:color="auto" w:fill="FFFFFF"/>
          <w:tblCellMar>
            <w:top w:w="80" w:type="dxa"/>
            <w:left w:w="128" w:type="dxa"/>
            <w:bottom w:w="80" w:type="dxa"/>
            <w:right w:w="128" w:type="dxa"/>
          </w:tblCellMar>
        </w:tblPrEx>
        <w:trPr>
          <w:trHeight w:val="0" w:hRule="atLeast"/>
          <w:jc w:val="center"/>
        </w:trPr>
        <w:tc>
          <w:tcPr>
            <w:tcW w:w="6549"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5D51D484">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Segoe UI" w:cs="Times New Roman"/>
                <w:b w:val="0"/>
                <w:i w:val="0"/>
                <w:iCs w:val="0"/>
                <w:caps w:val="0"/>
                <w:color w:val="000000"/>
                <w:spacing w:val="0"/>
                <w:sz w:val="24"/>
                <w:szCs w:val="24"/>
                <w:highlight w:val="none"/>
              </w:rPr>
            </w:pPr>
            <w:r>
              <w:rPr>
                <w:rFonts w:hint="default" w:ascii="Times New Roman" w:hAnsi="Times New Roman" w:eastAsia="Segoe UI" w:cs="Times New Roman"/>
                <w:b w:val="0"/>
                <w:i w:val="0"/>
                <w:iCs w:val="0"/>
                <w:caps w:val="0"/>
                <w:color w:val="000000"/>
                <w:spacing w:val="0"/>
                <w:sz w:val="24"/>
                <w:szCs w:val="24"/>
                <w:highlight w:val="none"/>
              </w:rPr>
              <w:t>6.3.2 应建立碳排放计量器具档案，内容包括：</w:t>
            </w:r>
          </w:p>
          <w:p w14:paraId="025E3FE7">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Segoe UI" w:cs="Times New Roman"/>
                <w:b w:val="0"/>
                <w:i w:val="0"/>
                <w:iCs w:val="0"/>
                <w:caps w:val="0"/>
                <w:color w:val="000000"/>
                <w:spacing w:val="0"/>
                <w:sz w:val="24"/>
                <w:szCs w:val="24"/>
                <w:highlight w:val="none"/>
              </w:rPr>
            </w:pPr>
            <w:r>
              <w:rPr>
                <w:rFonts w:hint="default" w:ascii="Times New Roman" w:hAnsi="Times New Roman" w:eastAsia="Segoe UI" w:cs="Times New Roman"/>
                <w:b w:val="0"/>
                <w:i w:val="0"/>
                <w:iCs w:val="0"/>
                <w:caps w:val="0"/>
                <w:color w:val="000000"/>
                <w:spacing w:val="0"/>
                <w:sz w:val="24"/>
                <w:szCs w:val="24"/>
                <w:highlight w:val="none"/>
              </w:rPr>
              <w:t>a）计量器具使用说明书；</w:t>
            </w:r>
          </w:p>
          <w:p w14:paraId="4F0D77F5">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Segoe UI" w:cs="Times New Roman"/>
                <w:b w:val="0"/>
                <w:i w:val="0"/>
                <w:iCs w:val="0"/>
                <w:caps w:val="0"/>
                <w:color w:val="000000"/>
                <w:spacing w:val="0"/>
                <w:sz w:val="24"/>
                <w:szCs w:val="24"/>
                <w:highlight w:val="none"/>
              </w:rPr>
            </w:pPr>
            <w:r>
              <w:rPr>
                <w:rFonts w:hint="default" w:ascii="Times New Roman" w:hAnsi="Times New Roman" w:eastAsia="Segoe UI" w:cs="Times New Roman"/>
                <w:b w:val="0"/>
                <w:i w:val="0"/>
                <w:iCs w:val="0"/>
                <w:caps w:val="0"/>
                <w:color w:val="000000"/>
                <w:spacing w:val="0"/>
                <w:sz w:val="24"/>
                <w:szCs w:val="24"/>
                <w:highlight w:val="none"/>
              </w:rPr>
              <w:t>b）计量器具出厂合格证；</w:t>
            </w:r>
          </w:p>
          <w:p w14:paraId="69C71AA9">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Segoe UI" w:cs="Times New Roman"/>
                <w:b w:val="0"/>
                <w:i w:val="0"/>
                <w:iCs w:val="0"/>
                <w:caps w:val="0"/>
                <w:color w:val="000000"/>
                <w:spacing w:val="0"/>
                <w:sz w:val="24"/>
                <w:szCs w:val="24"/>
                <w:highlight w:val="none"/>
              </w:rPr>
            </w:pPr>
            <w:r>
              <w:rPr>
                <w:rFonts w:hint="default" w:ascii="Times New Roman" w:hAnsi="Times New Roman" w:eastAsia="Segoe UI" w:cs="Times New Roman"/>
                <w:b w:val="0"/>
                <w:i w:val="0"/>
                <w:iCs w:val="0"/>
                <w:caps w:val="0"/>
                <w:color w:val="000000"/>
                <w:spacing w:val="0"/>
                <w:sz w:val="24"/>
                <w:szCs w:val="24"/>
                <w:highlight w:val="none"/>
              </w:rPr>
              <w:t>c）计量器具检定（校准）证书；</w:t>
            </w:r>
          </w:p>
          <w:p w14:paraId="27B20EA0">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Segoe UI" w:cs="Times New Roman"/>
                <w:b w:val="0"/>
                <w:i w:val="0"/>
                <w:iCs w:val="0"/>
                <w:caps w:val="0"/>
                <w:color w:val="000000"/>
                <w:spacing w:val="0"/>
                <w:sz w:val="24"/>
                <w:szCs w:val="24"/>
                <w:highlight w:val="none"/>
              </w:rPr>
            </w:pPr>
            <w:r>
              <w:rPr>
                <w:rFonts w:hint="default" w:ascii="Times New Roman" w:hAnsi="Times New Roman" w:eastAsia="Segoe UI" w:cs="Times New Roman"/>
                <w:b w:val="0"/>
                <w:i w:val="0"/>
                <w:iCs w:val="0"/>
                <w:caps w:val="0"/>
                <w:color w:val="000000"/>
                <w:spacing w:val="0"/>
                <w:sz w:val="24"/>
                <w:szCs w:val="24"/>
                <w:highlight w:val="none"/>
              </w:rPr>
              <w:t>d）计量器具维修记录；</w:t>
            </w:r>
          </w:p>
          <w:p w14:paraId="465A506F">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Segoe UI" w:cs="Times New Roman"/>
                <w:b w:val="0"/>
                <w:i w:val="0"/>
                <w:iCs w:val="0"/>
                <w:caps w:val="0"/>
                <w:color w:val="000000"/>
                <w:spacing w:val="0"/>
                <w:sz w:val="24"/>
                <w:szCs w:val="24"/>
                <w:highlight w:val="none"/>
              </w:rPr>
            </w:pPr>
            <w:r>
              <w:rPr>
                <w:rFonts w:hint="default" w:ascii="Times New Roman" w:hAnsi="Times New Roman" w:eastAsia="Segoe UI" w:cs="Times New Roman"/>
                <w:b w:val="0"/>
                <w:i w:val="0"/>
                <w:iCs w:val="0"/>
                <w:caps w:val="0"/>
                <w:color w:val="000000"/>
                <w:spacing w:val="0"/>
                <w:sz w:val="24"/>
                <w:szCs w:val="24"/>
                <w:highlight w:val="none"/>
              </w:rPr>
              <w:t>e）计量器具其他相关信息。</w:t>
            </w:r>
          </w:p>
        </w:tc>
        <w:tc>
          <w:tcPr>
            <w:tcW w:w="762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A33205B">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宋体" w:cs="Times New Roman"/>
                <w:b w:val="0"/>
                <w:i w:val="0"/>
                <w:iCs w:val="0"/>
                <w:caps w:val="0"/>
                <w:color w:val="000000"/>
                <w:spacing w:val="0"/>
                <w:sz w:val="24"/>
                <w:szCs w:val="24"/>
                <w:highlight w:val="none"/>
                <w:lang w:eastAsia="zh-CN"/>
              </w:rPr>
            </w:pPr>
            <w:r>
              <w:rPr>
                <w:rFonts w:hint="default" w:ascii="Times New Roman" w:hAnsi="Times New Roman" w:eastAsia="Segoe UI" w:cs="Times New Roman"/>
                <w:b w:val="0"/>
                <w:i w:val="0"/>
                <w:iCs w:val="0"/>
                <w:caps w:val="0"/>
                <w:color w:val="000000"/>
                <w:spacing w:val="0"/>
                <w:sz w:val="24"/>
                <w:szCs w:val="24"/>
                <w:highlight w:val="none"/>
              </w:rPr>
              <w:t>为每台器具建立档案，存档资料包括：电子式电能表使用说明书、出厂合格证、DN-20210400099检定证书、维修记录（2024年5月电表接线松动维修单）</w:t>
            </w:r>
            <w:r>
              <w:rPr>
                <w:rFonts w:hint="default" w:ascii="Times New Roman" w:hAnsi="Times New Roman" w:eastAsia="宋体" w:cs="Times New Roman"/>
                <w:b w:val="0"/>
                <w:i w:val="0"/>
                <w:iCs w:val="0"/>
                <w:caps w:val="0"/>
                <w:color w:val="000000"/>
                <w:spacing w:val="0"/>
                <w:sz w:val="24"/>
                <w:szCs w:val="24"/>
                <w:highlight w:val="none"/>
                <w:lang w:eastAsia="zh-CN"/>
              </w:rPr>
              <w:t>。</w:t>
            </w:r>
          </w:p>
        </w:tc>
      </w:tr>
      <w:tr w14:paraId="577D50E1">
        <w:tblPrEx>
          <w:tblBorders>
            <w:top w:val="single" w:color="auto" w:sz="6" w:space="0"/>
            <w:left w:val="single" w:color="auto" w:sz="2" w:space="0"/>
            <w:bottom w:val="single" w:color="auto" w:sz="2" w:space="0"/>
            <w:right w:val="single" w:color="auto" w:sz="2" w:space="0"/>
            <w:insideH w:val="none" w:color="auto" w:sz="0" w:space="0"/>
            <w:insideV w:val="none" w:color="auto" w:sz="0" w:space="0"/>
          </w:tblBorders>
          <w:shd w:val="clear" w:color="auto" w:fill="FFFFFF"/>
          <w:tblCellMar>
            <w:top w:w="80" w:type="dxa"/>
            <w:left w:w="128" w:type="dxa"/>
            <w:bottom w:w="80" w:type="dxa"/>
            <w:right w:w="128" w:type="dxa"/>
          </w:tblCellMar>
        </w:tblPrEx>
        <w:trPr>
          <w:trHeight w:val="0" w:hRule="atLeast"/>
          <w:jc w:val="center"/>
        </w:trPr>
        <w:tc>
          <w:tcPr>
            <w:tcW w:w="6549"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0CA93DB0">
            <w:pPr>
              <w:keepNext w:val="0"/>
              <w:keepLines w:val="0"/>
              <w:widowControl/>
              <w:suppressLineNumbers w:val="0"/>
              <w:snapToGrid w:val="0"/>
              <w:spacing w:before="0" w:beforeAutospacing="0" w:after="0" w:afterAutospacing="0" w:line="420" w:lineRule="atLeast"/>
              <w:ind w:left="0" w:right="0" w:firstLine="0"/>
              <w:jc w:val="left"/>
              <w:rPr>
                <w:rFonts w:hint="eastAsia" w:ascii="Times New Roman" w:hAnsi="Times New Roman" w:eastAsia="宋体" w:cs="Times New Roman"/>
                <w:b w:val="0"/>
                <w:i w:val="0"/>
                <w:iCs w:val="0"/>
                <w:caps w:val="0"/>
                <w:color w:val="000000"/>
                <w:spacing w:val="0"/>
                <w:sz w:val="24"/>
                <w:szCs w:val="24"/>
                <w:highlight w:val="none"/>
                <w:lang w:eastAsia="zh-CN"/>
              </w:rPr>
            </w:pPr>
            <w:r>
              <w:rPr>
                <w:rFonts w:hint="default" w:ascii="Times New Roman" w:hAnsi="Times New Roman" w:eastAsia="Segoe UI" w:cs="Times New Roman"/>
                <w:b w:val="0"/>
                <w:i w:val="0"/>
                <w:iCs w:val="0"/>
                <w:caps w:val="0"/>
                <w:color w:val="000000"/>
                <w:spacing w:val="0"/>
                <w:sz w:val="24"/>
                <w:szCs w:val="24"/>
                <w:highlight w:val="none"/>
              </w:rPr>
              <w:t>6.3.3 应备有碳排放计量器具量值传递或溯源图，其中作为用能单位内部标准计量器具使用的，要明确规定其计量性能、测量范围、可溯源的上级传递标准。</w:t>
            </w:r>
            <w:r>
              <w:rPr>
                <w:rFonts w:hint="default" w:ascii="Times New Roman" w:hAnsi="Times New Roman" w:eastAsia="Segoe UI" w:cs="Times New Roman"/>
                <w:color w:val="000000"/>
                <w:sz w:val="24"/>
                <w:szCs w:val="24"/>
                <w:highlight w:val="none"/>
              </w:rPr>
              <w:t>溯源图格式可参考JJF 2309-2025附录B中图B.3、图B.4</w:t>
            </w:r>
            <w:r>
              <w:rPr>
                <w:rFonts w:hint="eastAsia" w:ascii="Times New Roman" w:hAnsi="Times New Roman" w:eastAsia="宋体" w:cs="Times New Roman"/>
                <w:color w:val="000000"/>
                <w:sz w:val="24"/>
                <w:szCs w:val="24"/>
                <w:highlight w:val="none"/>
                <w:lang w:eastAsia="zh-CN"/>
              </w:rPr>
              <w:t>。</w:t>
            </w:r>
          </w:p>
        </w:tc>
        <w:tc>
          <w:tcPr>
            <w:tcW w:w="762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69EB8B6">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宋体" w:cs="Times New Roman"/>
                <w:b w:val="0"/>
                <w:i w:val="0"/>
                <w:iCs w:val="0"/>
                <w:caps w:val="0"/>
                <w:color w:val="000000"/>
                <w:spacing w:val="0"/>
                <w:sz w:val="24"/>
                <w:szCs w:val="24"/>
                <w:highlight w:val="none"/>
                <w:lang w:eastAsia="zh-CN"/>
              </w:rPr>
            </w:pPr>
            <w:r>
              <w:rPr>
                <w:rFonts w:hint="default" w:ascii="Times New Roman" w:hAnsi="Times New Roman" w:eastAsia="Segoe UI" w:cs="Times New Roman"/>
                <w:b w:val="0"/>
                <w:i w:val="0"/>
                <w:iCs w:val="0"/>
                <w:caps w:val="0"/>
                <w:color w:val="000000"/>
                <w:spacing w:val="0"/>
                <w:sz w:val="24"/>
                <w:szCs w:val="24"/>
                <w:highlight w:val="none"/>
              </w:rPr>
              <w:t>绘制量值溯源图，明确电表溯源至省计量院标准装置、流量计溯源至珠海安测标准装置</w:t>
            </w:r>
            <w:r>
              <w:rPr>
                <w:rFonts w:hint="default" w:ascii="Times New Roman" w:hAnsi="Times New Roman" w:eastAsia="宋体" w:cs="Times New Roman"/>
                <w:b w:val="0"/>
                <w:i w:val="0"/>
                <w:iCs w:val="0"/>
                <w:caps w:val="0"/>
                <w:color w:val="000000"/>
                <w:spacing w:val="0"/>
                <w:sz w:val="24"/>
                <w:szCs w:val="24"/>
                <w:highlight w:val="none"/>
                <w:lang w:eastAsia="zh-CN"/>
              </w:rPr>
              <w:t>。</w:t>
            </w:r>
          </w:p>
        </w:tc>
      </w:tr>
      <w:tr w14:paraId="22EA6177">
        <w:tblPrEx>
          <w:tblBorders>
            <w:top w:val="single" w:color="auto" w:sz="6" w:space="0"/>
            <w:left w:val="single" w:color="auto" w:sz="2" w:space="0"/>
            <w:bottom w:val="single" w:color="auto" w:sz="2" w:space="0"/>
            <w:right w:val="single" w:color="auto" w:sz="2" w:space="0"/>
            <w:insideH w:val="none" w:color="auto" w:sz="0" w:space="0"/>
            <w:insideV w:val="none" w:color="auto" w:sz="0" w:space="0"/>
          </w:tblBorders>
          <w:tblCellMar>
            <w:top w:w="80" w:type="dxa"/>
            <w:left w:w="128" w:type="dxa"/>
            <w:bottom w:w="80" w:type="dxa"/>
            <w:right w:w="128" w:type="dxa"/>
          </w:tblCellMar>
        </w:tblPrEx>
        <w:trPr>
          <w:trHeight w:val="0" w:hRule="atLeast"/>
          <w:jc w:val="center"/>
        </w:trPr>
        <w:tc>
          <w:tcPr>
            <w:tcW w:w="654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FB8E7B0">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Segoe UI" w:cs="Times New Roman"/>
                <w:b w:val="0"/>
                <w:i w:val="0"/>
                <w:iCs w:val="0"/>
                <w:caps w:val="0"/>
                <w:color w:val="000000"/>
                <w:spacing w:val="0"/>
                <w:sz w:val="24"/>
                <w:szCs w:val="24"/>
                <w:highlight w:val="none"/>
              </w:rPr>
            </w:pPr>
            <w:r>
              <w:rPr>
                <w:rFonts w:hint="default" w:ascii="Times New Roman" w:hAnsi="Times New Roman" w:eastAsia="Segoe UI" w:cs="Times New Roman"/>
                <w:b w:val="0"/>
                <w:i w:val="0"/>
                <w:iCs w:val="0"/>
                <w:caps w:val="0"/>
                <w:color w:val="000000"/>
                <w:spacing w:val="0"/>
                <w:sz w:val="24"/>
                <w:szCs w:val="24"/>
                <w:highlight w:val="none"/>
              </w:rPr>
              <w:t>6.3.4 凡属自行校准且自行确定校准间隔的，应制定计量器具自校管理程序和自校规范作为依据。</w:t>
            </w:r>
          </w:p>
        </w:tc>
        <w:tc>
          <w:tcPr>
            <w:tcW w:w="76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AF98BE">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宋体" w:cs="Times New Roman"/>
                <w:b w:val="0"/>
                <w:i w:val="0"/>
                <w:iCs w:val="0"/>
                <w:caps w:val="0"/>
                <w:color w:val="000000"/>
                <w:spacing w:val="0"/>
                <w:sz w:val="24"/>
                <w:szCs w:val="24"/>
                <w:highlight w:val="none"/>
                <w:lang w:val="en-US" w:eastAsia="zh-CN"/>
              </w:rPr>
            </w:pPr>
            <w:r>
              <w:rPr>
                <w:rFonts w:hint="eastAsia" w:ascii="Times New Roman" w:hAnsi="Times New Roman" w:eastAsia="宋体" w:cs="Times New Roman"/>
                <w:b w:val="0"/>
                <w:i w:val="0"/>
                <w:iCs w:val="0"/>
                <w:caps w:val="0"/>
                <w:color w:val="000000"/>
                <w:spacing w:val="0"/>
                <w:sz w:val="24"/>
                <w:szCs w:val="24"/>
                <w:highlight w:val="none"/>
                <w:shd w:val="clear"/>
                <w:lang w:val="en-US" w:eastAsia="zh-CN"/>
              </w:rPr>
              <w:t>不存在自行校准的情况。</w:t>
            </w:r>
          </w:p>
        </w:tc>
      </w:tr>
      <w:tr w14:paraId="547D8FAC">
        <w:tblPrEx>
          <w:tblBorders>
            <w:top w:val="single" w:color="auto" w:sz="6" w:space="0"/>
            <w:left w:val="single" w:color="auto" w:sz="2" w:space="0"/>
            <w:bottom w:val="single" w:color="auto" w:sz="2" w:space="0"/>
            <w:right w:val="single" w:color="auto" w:sz="2" w:space="0"/>
            <w:insideH w:val="none" w:color="auto" w:sz="0" w:space="0"/>
            <w:insideV w:val="none" w:color="auto" w:sz="0" w:space="0"/>
          </w:tblBorders>
          <w:shd w:val="clear" w:color="auto" w:fill="FFFFFF"/>
          <w:tblCellMar>
            <w:top w:w="80" w:type="dxa"/>
            <w:left w:w="128" w:type="dxa"/>
            <w:bottom w:w="80" w:type="dxa"/>
            <w:right w:w="128" w:type="dxa"/>
          </w:tblCellMar>
        </w:tblPrEx>
        <w:trPr>
          <w:trHeight w:val="0" w:hRule="atLeast"/>
          <w:jc w:val="center"/>
        </w:trPr>
        <w:tc>
          <w:tcPr>
            <w:tcW w:w="6549"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41E8CB4D">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Segoe UI" w:cs="Times New Roman"/>
                <w:b w:val="0"/>
                <w:i w:val="0"/>
                <w:iCs w:val="0"/>
                <w:caps w:val="0"/>
                <w:color w:val="000000"/>
                <w:spacing w:val="0"/>
                <w:sz w:val="24"/>
                <w:szCs w:val="24"/>
                <w:highlight w:val="none"/>
              </w:rPr>
            </w:pPr>
            <w:r>
              <w:rPr>
                <w:rFonts w:hint="default" w:ascii="Times New Roman" w:hAnsi="Times New Roman" w:eastAsia="Segoe UI" w:cs="Times New Roman"/>
                <w:b w:val="0"/>
                <w:i w:val="0"/>
                <w:iCs w:val="0"/>
                <w:caps w:val="0"/>
                <w:color w:val="000000"/>
                <w:spacing w:val="0"/>
                <w:sz w:val="24"/>
                <w:szCs w:val="24"/>
                <w:highlight w:val="none"/>
              </w:rPr>
              <w:t>6.3.5 施工阶段碳排放计量器具应定期检定（校准）。凡经检定（校准）不符合要求的或超过检定（校准）周期的计量器具一律不准使用，属强制检定的计量器具，其检定周期、检定方式应遵守有关法律法规的规定。</w:t>
            </w:r>
          </w:p>
        </w:tc>
        <w:tc>
          <w:tcPr>
            <w:tcW w:w="762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DFF2571">
            <w:pPr>
              <w:keepNext w:val="0"/>
              <w:keepLines w:val="0"/>
              <w:widowControl/>
              <w:suppressLineNumbers w:val="0"/>
              <w:snapToGrid w:val="0"/>
              <w:spacing w:before="0" w:beforeAutospacing="0" w:after="0" w:afterAutospacing="0" w:line="420" w:lineRule="atLeast"/>
              <w:ind w:left="0" w:leftChars="0" w:right="0" w:rightChars="0" w:firstLine="0" w:firstLineChars="0"/>
              <w:jc w:val="left"/>
              <w:rPr>
                <w:rFonts w:hint="default" w:ascii="Times New Roman" w:hAnsi="Times New Roman" w:eastAsia="宋体" w:cs="Times New Roman"/>
                <w:b w:val="0"/>
                <w:i w:val="0"/>
                <w:iCs w:val="0"/>
                <w:caps w:val="0"/>
                <w:color w:val="000000"/>
                <w:spacing w:val="0"/>
                <w:kern w:val="2"/>
                <w:sz w:val="24"/>
                <w:szCs w:val="24"/>
                <w:highlight w:val="none"/>
                <w:lang w:val="en-US" w:eastAsia="zh-CN" w:bidi="ar-SA"/>
              </w:rPr>
            </w:pPr>
            <w:r>
              <w:rPr>
                <w:rFonts w:hint="default" w:ascii="Times New Roman" w:hAnsi="Times New Roman" w:eastAsia="Segoe UI" w:cs="Times New Roman"/>
                <w:b w:val="0"/>
                <w:i w:val="0"/>
                <w:iCs w:val="0"/>
                <w:caps w:val="0"/>
                <w:color w:val="000000"/>
                <w:spacing w:val="0"/>
                <w:sz w:val="24"/>
                <w:szCs w:val="24"/>
                <w:highlight w:val="none"/>
              </w:rPr>
              <w:t>所有器具按周期检定（电能表每年1次、流量计每半年1次），2024年排查出1块超期电表，立即贴“停用”标识并禁用</w:t>
            </w:r>
            <w:r>
              <w:rPr>
                <w:rFonts w:hint="default" w:ascii="Times New Roman" w:hAnsi="Times New Roman" w:eastAsia="宋体" w:cs="Times New Roman"/>
                <w:b w:val="0"/>
                <w:i w:val="0"/>
                <w:iCs w:val="0"/>
                <w:caps w:val="0"/>
                <w:color w:val="000000"/>
                <w:spacing w:val="0"/>
                <w:sz w:val="24"/>
                <w:szCs w:val="24"/>
                <w:highlight w:val="none"/>
                <w:lang w:eastAsia="zh-CN"/>
              </w:rPr>
              <w:t>。</w:t>
            </w:r>
          </w:p>
        </w:tc>
      </w:tr>
      <w:tr w14:paraId="76BA5973">
        <w:tblPrEx>
          <w:tblBorders>
            <w:top w:val="single" w:color="auto" w:sz="6" w:space="0"/>
            <w:left w:val="single" w:color="auto" w:sz="2" w:space="0"/>
            <w:bottom w:val="single" w:color="auto" w:sz="2" w:space="0"/>
            <w:right w:val="single" w:color="auto" w:sz="2" w:space="0"/>
            <w:insideH w:val="none" w:color="auto" w:sz="0" w:space="0"/>
            <w:insideV w:val="none" w:color="auto" w:sz="0" w:space="0"/>
          </w:tblBorders>
          <w:tblCellMar>
            <w:top w:w="80" w:type="dxa"/>
            <w:left w:w="128" w:type="dxa"/>
            <w:bottom w:w="80" w:type="dxa"/>
            <w:right w:w="128" w:type="dxa"/>
          </w:tblCellMar>
        </w:tblPrEx>
        <w:trPr>
          <w:trHeight w:val="0" w:hRule="atLeast"/>
          <w:jc w:val="center"/>
        </w:trPr>
        <w:tc>
          <w:tcPr>
            <w:tcW w:w="6549"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0BDEEFB5">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Segoe UI" w:cs="Times New Roman"/>
                <w:b w:val="0"/>
                <w:i w:val="0"/>
                <w:iCs w:val="0"/>
                <w:caps w:val="0"/>
                <w:color w:val="000000"/>
                <w:spacing w:val="0"/>
                <w:sz w:val="24"/>
                <w:szCs w:val="24"/>
                <w:highlight w:val="none"/>
              </w:rPr>
            </w:pPr>
            <w:r>
              <w:rPr>
                <w:rFonts w:hint="default" w:ascii="Times New Roman" w:hAnsi="Times New Roman" w:eastAsia="Segoe UI" w:cs="Times New Roman"/>
                <w:b w:val="0"/>
                <w:i w:val="0"/>
                <w:iCs w:val="0"/>
                <w:caps w:val="0"/>
                <w:color w:val="000000"/>
                <w:spacing w:val="0"/>
                <w:sz w:val="24"/>
                <w:szCs w:val="24"/>
                <w:highlight w:val="none"/>
              </w:rPr>
              <w:t>6.3.6 建筑施工阶段碳排放计量在用的碳排放计量器具应在明显位置粘贴测量管理体系标准规定的确认标识，以备查验和管理。</w:t>
            </w:r>
          </w:p>
        </w:tc>
        <w:tc>
          <w:tcPr>
            <w:tcW w:w="762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149CDBC">
            <w:pPr>
              <w:keepNext w:val="0"/>
              <w:keepLines w:val="0"/>
              <w:widowControl/>
              <w:suppressLineNumbers w:val="0"/>
              <w:snapToGrid w:val="0"/>
              <w:spacing w:before="0" w:beforeAutospacing="0" w:after="0" w:afterAutospacing="0" w:line="420" w:lineRule="atLeast"/>
              <w:ind w:left="0" w:leftChars="0" w:right="0" w:rightChars="0" w:firstLine="0" w:firstLineChars="0"/>
              <w:jc w:val="left"/>
              <w:rPr>
                <w:rFonts w:hint="default" w:ascii="Times New Roman" w:hAnsi="Times New Roman" w:eastAsia="宋体" w:cs="Times New Roman"/>
                <w:b w:val="0"/>
                <w:i w:val="0"/>
                <w:iCs w:val="0"/>
                <w:caps w:val="0"/>
                <w:color w:val="000000"/>
                <w:spacing w:val="0"/>
                <w:kern w:val="2"/>
                <w:sz w:val="24"/>
                <w:szCs w:val="24"/>
                <w:highlight w:val="none"/>
                <w:lang w:val="en-US" w:eastAsia="zh-CN" w:bidi="ar-SA"/>
              </w:rPr>
            </w:pPr>
            <w:r>
              <w:rPr>
                <w:rFonts w:hint="default" w:ascii="Times New Roman" w:hAnsi="Times New Roman" w:eastAsia="宋体" w:cs="Times New Roman"/>
                <w:b w:val="0"/>
                <w:i w:val="0"/>
                <w:iCs w:val="0"/>
                <w:caps w:val="0"/>
                <w:color w:val="000000"/>
                <w:spacing w:val="0"/>
                <w:kern w:val="2"/>
                <w:sz w:val="24"/>
                <w:szCs w:val="24"/>
                <w:highlight w:val="none"/>
                <w:lang w:val="en-US" w:eastAsia="zh-CN" w:bidi="ar-SA"/>
              </w:rPr>
              <w:t>配备电表（13块）、水表（3块）、涡轮流量计（2台），均在明显位置粘贴测量管理体系标准规定的确认标识。</w:t>
            </w:r>
          </w:p>
        </w:tc>
      </w:tr>
      <w:tr w14:paraId="5195D011">
        <w:tblPrEx>
          <w:tblBorders>
            <w:top w:val="single" w:color="auto" w:sz="6" w:space="0"/>
            <w:left w:val="single" w:color="auto" w:sz="2" w:space="0"/>
            <w:bottom w:val="single" w:color="auto" w:sz="2" w:space="0"/>
            <w:right w:val="single" w:color="auto" w:sz="2" w:space="0"/>
            <w:insideH w:val="none" w:color="auto" w:sz="0" w:space="0"/>
            <w:insideV w:val="none" w:color="auto" w:sz="0" w:space="0"/>
          </w:tblBorders>
          <w:shd w:val="clear" w:color="auto" w:fill="FFFFFF"/>
          <w:tblCellMar>
            <w:top w:w="80" w:type="dxa"/>
            <w:left w:w="128" w:type="dxa"/>
            <w:bottom w:w="80" w:type="dxa"/>
            <w:right w:w="128" w:type="dxa"/>
          </w:tblCellMar>
        </w:tblPrEx>
        <w:trPr>
          <w:trHeight w:val="0" w:hRule="atLeast"/>
          <w:jc w:val="center"/>
        </w:trPr>
        <w:tc>
          <w:tcPr>
            <w:tcW w:w="6549"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27FE8224">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Segoe UI" w:cs="Times New Roman"/>
                <w:b w:val="0"/>
                <w:i w:val="0"/>
                <w:iCs w:val="0"/>
                <w:caps w:val="0"/>
                <w:color w:val="000000"/>
                <w:spacing w:val="0"/>
                <w:sz w:val="24"/>
                <w:szCs w:val="24"/>
                <w:highlight w:val="none"/>
              </w:rPr>
            </w:pPr>
            <w:r>
              <w:rPr>
                <w:rFonts w:hint="default" w:ascii="Times New Roman" w:hAnsi="Times New Roman" w:eastAsia="Segoe UI" w:cs="Times New Roman"/>
                <w:b w:val="0"/>
                <w:i w:val="0"/>
                <w:iCs w:val="0"/>
                <w:caps w:val="0"/>
                <w:color w:val="000000"/>
                <w:spacing w:val="0"/>
                <w:sz w:val="24"/>
                <w:szCs w:val="24"/>
                <w:highlight w:val="none"/>
              </w:rPr>
              <w:t>6.3.7 应制定公司部门或项目现场的计量器具维护规程，明确清洁周期、功能检查项目及记录要求，满足日常维护要求。</w:t>
            </w:r>
          </w:p>
        </w:tc>
        <w:tc>
          <w:tcPr>
            <w:tcW w:w="762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C17BAC6">
            <w:pPr>
              <w:keepNext w:val="0"/>
              <w:keepLines w:val="0"/>
              <w:widowControl/>
              <w:suppressLineNumbers w:val="0"/>
              <w:snapToGrid w:val="0"/>
              <w:spacing w:before="0" w:beforeAutospacing="0" w:after="0" w:afterAutospacing="0" w:line="420" w:lineRule="atLeast"/>
              <w:ind w:left="0" w:leftChars="0" w:right="0" w:rightChars="0" w:firstLine="0" w:firstLineChars="0"/>
              <w:jc w:val="left"/>
              <w:rPr>
                <w:rFonts w:hint="default" w:ascii="Times New Roman" w:hAnsi="Times New Roman" w:eastAsia="宋体" w:cs="Times New Roman"/>
                <w:b w:val="0"/>
                <w:i w:val="0"/>
                <w:iCs w:val="0"/>
                <w:caps w:val="0"/>
                <w:color w:val="000000"/>
                <w:spacing w:val="0"/>
                <w:kern w:val="2"/>
                <w:sz w:val="24"/>
                <w:szCs w:val="24"/>
                <w:highlight w:val="none"/>
                <w:lang w:val="en-US" w:eastAsia="zh-CN" w:bidi="ar-SA"/>
              </w:rPr>
            </w:pPr>
            <w:r>
              <w:rPr>
                <w:rFonts w:hint="default" w:ascii="Times New Roman" w:hAnsi="Times New Roman" w:eastAsia="Segoe UI" w:cs="Times New Roman"/>
                <w:b w:val="0"/>
                <w:i w:val="0"/>
                <w:iCs w:val="0"/>
                <w:caps w:val="0"/>
                <w:color w:val="000000"/>
                <w:spacing w:val="0"/>
                <w:sz w:val="24"/>
                <w:szCs w:val="24"/>
                <w:highlight w:val="none"/>
              </w:rPr>
              <w:t>制定《计量器具维护规程》，明确电表每月清洁1次、流量计每季度检查接线密封性，每次维护记录签字存档</w:t>
            </w:r>
            <w:r>
              <w:rPr>
                <w:rFonts w:hint="default" w:ascii="Times New Roman" w:hAnsi="Times New Roman" w:eastAsia="宋体" w:cs="Times New Roman"/>
                <w:b w:val="0"/>
                <w:i w:val="0"/>
                <w:iCs w:val="0"/>
                <w:caps w:val="0"/>
                <w:color w:val="000000"/>
                <w:spacing w:val="0"/>
                <w:sz w:val="24"/>
                <w:szCs w:val="24"/>
                <w:highlight w:val="none"/>
                <w:lang w:eastAsia="zh-CN"/>
              </w:rPr>
              <w:t>。</w:t>
            </w:r>
          </w:p>
        </w:tc>
      </w:tr>
      <w:tr w14:paraId="3140C831">
        <w:tblPrEx>
          <w:tblBorders>
            <w:top w:val="single" w:color="auto" w:sz="6" w:space="0"/>
            <w:left w:val="single" w:color="auto" w:sz="2" w:space="0"/>
            <w:bottom w:val="single" w:color="auto" w:sz="2" w:space="0"/>
            <w:right w:val="single" w:color="auto" w:sz="2" w:space="0"/>
            <w:insideH w:val="none" w:color="auto" w:sz="0" w:space="0"/>
            <w:insideV w:val="none" w:color="auto" w:sz="0" w:space="0"/>
          </w:tblBorders>
          <w:shd w:val="clear" w:color="auto" w:fill="FFFFFF"/>
          <w:tblCellMar>
            <w:top w:w="80" w:type="dxa"/>
            <w:left w:w="128" w:type="dxa"/>
            <w:bottom w:w="80" w:type="dxa"/>
            <w:right w:w="128" w:type="dxa"/>
          </w:tblCellMar>
        </w:tblPrEx>
        <w:trPr>
          <w:trHeight w:val="0" w:hRule="atLeast"/>
          <w:jc w:val="center"/>
        </w:trPr>
        <w:tc>
          <w:tcPr>
            <w:tcW w:w="6549"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1D4C01A5">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Segoe UI" w:cs="Times New Roman"/>
                <w:b w:val="0"/>
                <w:i w:val="0"/>
                <w:iCs w:val="0"/>
                <w:caps w:val="0"/>
                <w:color w:val="000000"/>
                <w:spacing w:val="0"/>
                <w:sz w:val="24"/>
                <w:szCs w:val="24"/>
                <w:highlight w:val="none"/>
              </w:rPr>
            </w:pPr>
            <w:r>
              <w:rPr>
                <w:rFonts w:hint="default" w:ascii="Times New Roman" w:hAnsi="Times New Roman" w:eastAsia="Segoe UI" w:cs="Times New Roman"/>
                <w:b w:val="0"/>
                <w:i w:val="0"/>
                <w:iCs w:val="0"/>
                <w:caps w:val="0"/>
                <w:color w:val="000000"/>
                <w:spacing w:val="0"/>
                <w:sz w:val="24"/>
                <w:szCs w:val="24"/>
                <w:highlight w:val="none"/>
              </w:rPr>
              <w:t>6.3.8 发现器具的计量偏差超过允许范围时，应立即停用并贴“停用”标识，24小时内组织校准或维修，并记录故障原因及处理结果。</w:t>
            </w:r>
          </w:p>
        </w:tc>
        <w:tc>
          <w:tcPr>
            <w:tcW w:w="762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EEDED3A">
            <w:pPr>
              <w:keepNext w:val="0"/>
              <w:keepLines w:val="0"/>
              <w:widowControl/>
              <w:suppressLineNumbers w:val="0"/>
              <w:snapToGrid w:val="0"/>
              <w:spacing w:before="0" w:beforeAutospacing="0" w:after="0" w:afterAutospacing="0" w:line="420" w:lineRule="atLeast"/>
              <w:ind w:left="0" w:leftChars="0" w:right="0" w:rightChars="0" w:firstLine="0" w:firstLineChars="0"/>
              <w:jc w:val="left"/>
              <w:rPr>
                <w:rFonts w:hint="default" w:ascii="Times New Roman" w:hAnsi="Times New Roman" w:eastAsia="宋体" w:cs="Times New Roman"/>
                <w:b w:val="0"/>
                <w:i w:val="0"/>
                <w:iCs w:val="0"/>
                <w:caps w:val="0"/>
                <w:color w:val="000000"/>
                <w:spacing w:val="0"/>
                <w:kern w:val="2"/>
                <w:sz w:val="24"/>
                <w:szCs w:val="24"/>
                <w:highlight w:val="none"/>
                <w:lang w:val="en-US" w:eastAsia="zh-CN" w:bidi="ar-SA"/>
              </w:rPr>
            </w:pPr>
            <w:r>
              <w:rPr>
                <w:rFonts w:hint="default" w:ascii="Times New Roman" w:hAnsi="Times New Roman" w:eastAsia="Segoe UI" w:cs="Times New Roman"/>
                <w:b w:val="0"/>
                <w:i w:val="0"/>
                <w:iCs w:val="0"/>
                <w:caps w:val="0"/>
                <w:color w:val="000000"/>
                <w:spacing w:val="0"/>
                <w:sz w:val="24"/>
                <w:szCs w:val="24"/>
                <w:highlight w:val="none"/>
              </w:rPr>
              <w:t>2024年6月1台挖掘机流量计偏差超允许范围，当日贴“停用”标识，24小时内联系珠海安测完成校准，记录故障原因（传感器污染）及处理结果</w:t>
            </w:r>
            <w:r>
              <w:rPr>
                <w:rFonts w:hint="default" w:ascii="Times New Roman" w:hAnsi="Times New Roman" w:eastAsia="宋体" w:cs="Times New Roman"/>
                <w:b w:val="0"/>
                <w:i w:val="0"/>
                <w:iCs w:val="0"/>
                <w:caps w:val="0"/>
                <w:color w:val="000000"/>
                <w:spacing w:val="0"/>
                <w:sz w:val="24"/>
                <w:szCs w:val="24"/>
                <w:highlight w:val="none"/>
                <w:lang w:eastAsia="zh-CN"/>
              </w:rPr>
              <w:t>。</w:t>
            </w:r>
          </w:p>
        </w:tc>
      </w:tr>
      <w:tr w14:paraId="6E1A294A">
        <w:tblPrEx>
          <w:tblBorders>
            <w:top w:val="single" w:color="auto" w:sz="6" w:space="0"/>
            <w:left w:val="single" w:color="auto" w:sz="2" w:space="0"/>
            <w:bottom w:val="single" w:color="auto" w:sz="2" w:space="0"/>
            <w:right w:val="single" w:color="auto" w:sz="2" w:space="0"/>
            <w:insideH w:val="none" w:color="auto" w:sz="0" w:space="0"/>
            <w:insideV w:val="none" w:color="auto" w:sz="0" w:space="0"/>
          </w:tblBorders>
          <w:shd w:val="clear" w:color="auto" w:fill="FFFFFF"/>
          <w:tblCellMar>
            <w:top w:w="80" w:type="dxa"/>
            <w:left w:w="128" w:type="dxa"/>
            <w:bottom w:w="80" w:type="dxa"/>
            <w:right w:w="128" w:type="dxa"/>
          </w:tblCellMar>
        </w:tblPrEx>
        <w:trPr>
          <w:trHeight w:val="0" w:hRule="atLeast"/>
          <w:jc w:val="center"/>
        </w:trPr>
        <w:tc>
          <w:tcPr>
            <w:tcW w:w="6549"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28AB8A18">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Segoe UI" w:cs="Times New Roman"/>
                <w:b w:val="0"/>
                <w:i w:val="0"/>
                <w:iCs w:val="0"/>
                <w:caps w:val="0"/>
                <w:color w:val="000000"/>
                <w:spacing w:val="0"/>
                <w:sz w:val="24"/>
                <w:szCs w:val="24"/>
                <w:highlight w:val="none"/>
              </w:rPr>
            </w:pPr>
            <w:r>
              <w:rPr>
                <w:rFonts w:hint="default" w:ascii="Times New Roman" w:hAnsi="Times New Roman" w:eastAsia="Segoe UI" w:cs="Times New Roman"/>
                <w:b w:val="0"/>
                <w:i w:val="0"/>
                <w:iCs w:val="0"/>
                <w:caps w:val="0"/>
                <w:color w:val="000000"/>
                <w:spacing w:val="0"/>
                <w:sz w:val="24"/>
                <w:szCs w:val="24"/>
                <w:highlight w:val="none"/>
              </w:rPr>
              <w:t>6.3.9</w:t>
            </w:r>
            <w:r>
              <w:rPr>
                <w:rFonts w:hint="default" w:ascii="Times New Roman" w:hAnsi="Times New Roman" w:eastAsia="宋体" w:cs="Times New Roman"/>
                <w:b w:val="0"/>
                <w:i w:val="0"/>
                <w:iCs w:val="0"/>
                <w:caps w:val="0"/>
                <w:color w:val="000000"/>
                <w:spacing w:val="0"/>
                <w:sz w:val="24"/>
                <w:szCs w:val="24"/>
                <w:highlight w:val="none"/>
                <w:lang w:val="en-US" w:eastAsia="zh-CN"/>
              </w:rPr>
              <w:t xml:space="preserve"> </w:t>
            </w:r>
            <w:r>
              <w:rPr>
                <w:rFonts w:hint="default" w:ascii="Times New Roman" w:hAnsi="Times New Roman" w:eastAsia="Segoe UI" w:cs="Times New Roman"/>
                <w:b w:val="0"/>
                <w:i w:val="0"/>
                <w:iCs w:val="0"/>
                <w:caps w:val="0"/>
                <w:color w:val="000000"/>
                <w:spacing w:val="0"/>
                <w:sz w:val="24"/>
                <w:szCs w:val="24"/>
                <w:highlight w:val="none"/>
              </w:rPr>
              <w:t>经校准不合格且无法修复的器具，由使用部门提出申请，经计量管理负责人审批后报废，报废器具应拆除并粘贴“报废”标识，档案保存期不少于5年。</w:t>
            </w:r>
          </w:p>
        </w:tc>
        <w:tc>
          <w:tcPr>
            <w:tcW w:w="762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00362C6">
            <w:pPr>
              <w:keepNext w:val="0"/>
              <w:keepLines w:val="0"/>
              <w:widowControl/>
              <w:suppressLineNumbers w:val="0"/>
              <w:snapToGrid w:val="0"/>
              <w:spacing w:before="0" w:beforeAutospacing="0" w:after="0" w:afterAutospacing="0" w:line="420" w:lineRule="atLeast"/>
              <w:ind w:left="0" w:leftChars="0" w:right="0" w:rightChars="0" w:firstLine="0" w:firstLineChars="0"/>
              <w:jc w:val="left"/>
              <w:rPr>
                <w:rFonts w:hint="default" w:ascii="Times New Roman" w:hAnsi="Times New Roman" w:eastAsia="Segoe UI" w:cs="Times New Roman"/>
                <w:b w:val="0"/>
                <w:i w:val="0"/>
                <w:iCs w:val="0"/>
                <w:caps w:val="0"/>
                <w:color w:val="000000"/>
                <w:spacing w:val="0"/>
                <w:kern w:val="2"/>
                <w:sz w:val="24"/>
                <w:szCs w:val="24"/>
                <w:highlight w:val="none"/>
                <w:lang w:val="en-US" w:eastAsia="zh-CN" w:bidi="ar-SA"/>
              </w:rPr>
            </w:pPr>
            <w:r>
              <w:rPr>
                <w:rFonts w:hint="default" w:ascii="Times New Roman" w:hAnsi="Times New Roman" w:eastAsia="Segoe UI" w:cs="Times New Roman"/>
                <w:b w:val="0"/>
                <w:i w:val="0"/>
                <w:iCs w:val="0"/>
                <w:caps w:val="0"/>
                <w:color w:val="000000"/>
                <w:spacing w:val="0"/>
                <w:sz w:val="24"/>
                <w:szCs w:val="24"/>
                <w:highlight w:val="none"/>
              </w:rPr>
              <w:t>202</w:t>
            </w:r>
            <w:r>
              <w:rPr>
                <w:rFonts w:hint="default" w:ascii="Times New Roman" w:hAnsi="Times New Roman" w:eastAsia="宋体" w:cs="Times New Roman"/>
                <w:b w:val="0"/>
                <w:i w:val="0"/>
                <w:iCs w:val="0"/>
                <w:caps w:val="0"/>
                <w:color w:val="000000"/>
                <w:spacing w:val="0"/>
                <w:sz w:val="24"/>
                <w:szCs w:val="24"/>
                <w:highlight w:val="none"/>
                <w:lang w:val="en-US" w:eastAsia="zh-CN"/>
              </w:rPr>
              <w:t>3</w:t>
            </w:r>
            <w:r>
              <w:rPr>
                <w:rFonts w:hint="default" w:ascii="Times New Roman" w:hAnsi="Times New Roman" w:eastAsia="Segoe UI" w:cs="Times New Roman"/>
                <w:b w:val="0"/>
                <w:i w:val="0"/>
                <w:iCs w:val="0"/>
                <w:caps w:val="0"/>
                <w:color w:val="000000"/>
                <w:spacing w:val="0"/>
                <w:sz w:val="24"/>
                <w:szCs w:val="24"/>
                <w:highlight w:val="none"/>
              </w:rPr>
              <w:t>年报废1块故障水表，档案（含报废申请、检定不合格报告）</w:t>
            </w:r>
            <w:r>
              <w:rPr>
                <w:rFonts w:hint="default" w:ascii="Times New Roman" w:hAnsi="Times New Roman" w:eastAsia="宋体" w:cs="Times New Roman"/>
                <w:b w:val="0"/>
                <w:i w:val="0"/>
                <w:iCs w:val="0"/>
                <w:caps w:val="0"/>
                <w:color w:val="000000"/>
                <w:spacing w:val="0"/>
                <w:sz w:val="24"/>
                <w:szCs w:val="24"/>
                <w:highlight w:val="none"/>
                <w:lang w:val="en-US" w:eastAsia="zh-CN"/>
              </w:rPr>
              <w:t>将</w:t>
            </w:r>
            <w:r>
              <w:rPr>
                <w:rFonts w:hint="default" w:ascii="Times New Roman" w:hAnsi="Times New Roman" w:eastAsia="Segoe UI" w:cs="Times New Roman"/>
                <w:b w:val="0"/>
                <w:i w:val="0"/>
                <w:iCs w:val="0"/>
                <w:caps w:val="0"/>
                <w:color w:val="000000"/>
                <w:spacing w:val="0"/>
                <w:sz w:val="24"/>
                <w:szCs w:val="24"/>
                <w:highlight w:val="none"/>
              </w:rPr>
              <w:t>保存至202</w:t>
            </w:r>
            <w:r>
              <w:rPr>
                <w:rFonts w:hint="default" w:ascii="Times New Roman" w:hAnsi="Times New Roman" w:eastAsia="宋体" w:cs="Times New Roman"/>
                <w:b w:val="0"/>
                <w:i w:val="0"/>
                <w:iCs w:val="0"/>
                <w:caps w:val="0"/>
                <w:color w:val="000000"/>
                <w:spacing w:val="0"/>
                <w:sz w:val="24"/>
                <w:szCs w:val="24"/>
                <w:highlight w:val="none"/>
                <w:lang w:val="en-US" w:eastAsia="zh-CN"/>
              </w:rPr>
              <w:t>9</w:t>
            </w:r>
            <w:r>
              <w:rPr>
                <w:rFonts w:hint="default" w:ascii="Times New Roman" w:hAnsi="Times New Roman" w:eastAsia="Segoe UI" w:cs="Times New Roman"/>
                <w:b w:val="0"/>
                <w:i w:val="0"/>
                <w:iCs w:val="0"/>
                <w:caps w:val="0"/>
                <w:color w:val="000000"/>
                <w:spacing w:val="0"/>
                <w:sz w:val="24"/>
                <w:szCs w:val="24"/>
                <w:highlight w:val="none"/>
              </w:rPr>
              <w:t>年（超5年）。</w:t>
            </w:r>
          </w:p>
        </w:tc>
      </w:tr>
      <w:tr w14:paraId="132341CE">
        <w:tblPrEx>
          <w:tblBorders>
            <w:top w:val="single" w:color="auto" w:sz="6" w:space="0"/>
            <w:left w:val="single" w:color="auto" w:sz="2" w:space="0"/>
            <w:bottom w:val="single" w:color="auto" w:sz="2" w:space="0"/>
            <w:right w:val="single" w:color="auto" w:sz="2" w:space="0"/>
            <w:insideH w:val="none" w:color="auto" w:sz="0" w:space="0"/>
            <w:insideV w:val="none" w:color="auto" w:sz="0" w:space="0"/>
          </w:tblBorders>
          <w:shd w:val="clear" w:color="auto" w:fill="FFFFFF"/>
          <w:tblCellMar>
            <w:top w:w="80" w:type="dxa"/>
            <w:left w:w="128" w:type="dxa"/>
            <w:bottom w:w="80" w:type="dxa"/>
            <w:right w:w="128" w:type="dxa"/>
          </w:tblCellMar>
        </w:tblPrEx>
        <w:trPr>
          <w:trHeight w:val="0" w:hRule="atLeast"/>
          <w:jc w:val="center"/>
        </w:trPr>
        <w:tc>
          <w:tcPr>
            <w:tcW w:w="14174"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14:paraId="7912C5CC">
            <w:pPr>
              <w:keepNext w:val="0"/>
              <w:keepLines w:val="0"/>
              <w:widowControl/>
              <w:suppressLineNumbers w:val="0"/>
              <w:snapToGrid w:val="0"/>
              <w:spacing w:before="0" w:beforeAutospacing="0" w:after="0" w:afterAutospacing="0" w:line="420" w:lineRule="atLeast"/>
              <w:ind w:left="0" w:leftChars="0" w:right="0" w:rightChars="0" w:firstLine="0" w:firstLineChars="0"/>
              <w:jc w:val="left"/>
              <w:rPr>
                <w:rFonts w:hint="default" w:ascii="Times New Roman" w:hAnsi="Times New Roman" w:eastAsia="Segoe UI" w:cs="Times New Roman"/>
                <w:b w:val="0"/>
                <w:i w:val="0"/>
                <w:iCs w:val="0"/>
                <w:caps w:val="0"/>
                <w:color w:val="000000"/>
                <w:spacing w:val="0"/>
                <w:sz w:val="24"/>
                <w:szCs w:val="24"/>
                <w:highlight w:val="none"/>
              </w:rPr>
            </w:pPr>
            <w:r>
              <w:rPr>
                <w:rFonts w:hint="default" w:ascii="Times New Roman" w:hAnsi="Times New Roman" w:eastAsia="Segoe UI" w:cs="Times New Roman"/>
                <w:b/>
                <w:bCs/>
                <w:i w:val="0"/>
                <w:iCs w:val="0"/>
                <w:caps w:val="0"/>
                <w:color w:val="000000"/>
                <w:spacing w:val="0"/>
                <w:sz w:val="24"/>
                <w:szCs w:val="24"/>
                <w:highlight w:val="none"/>
              </w:rPr>
              <w:t>7 碳排放计量数据管理</w:t>
            </w:r>
          </w:p>
        </w:tc>
      </w:tr>
      <w:tr w14:paraId="6472F2A4">
        <w:tblPrEx>
          <w:tblBorders>
            <w:top w:val="single" w:color="auto" w:sz="6" w:space="0"/>
            <w:left w:val="single" w:color="auto" w:sz="2" w:space="0"/>
            <w:bottom w:val="single" w:color="auto" w:sz="2" w:space="0"/>
            <w:right w:val="single" w:color="auto" w:sz="2" w:space="0"/>
            <w:insideH w:val="none" w:color="auto" w:sz="0" w:space="0"/>
            <w:insideV w:val="none" w:color="auto" w:sz="0" w:space="0"/>
          </w:tblBorders>
          <w:shd w:val="clear" w:color="auto" w:fill="FFFFFF"/>
          <w:tblCellMar>
            <w:top w:w="80" w:type="dxa"/>
            <w:left w:w="128" w:type="dxa"/>
            <w:bottom w:w="80" w:type="dxa"/>
            <w:right w:w="128" w:type="dxa"/>
          </w:tblCellMar>
        </w:tblPrEx>
        <w:trPr>
          <w:trHeight w:val="0" w:hRule="atLeast"/>
          <w:jc w:val="center"/>
        </w:trPr>
        <w:tc>
          <w:tcPr>
            <w:tcW w:w="6549"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534B3D77">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Segoe UI" w:cs="Times New Roman"/>
                <w:b w:val="0"/>
                <w:i w:val="0"/>
                <w:iCs w:val="0"/>
                <w:caps w:val="0"/>
                <w:color w:val="000000"/>
                <w:spacing w:val="0"/>
                <w:sz w:val="24"/>
                <w:szCs w:val="24"/>
                <w:highlight w:val="none"/>
              </w:rPr>
            </w:pPr>
            <w:r>
              <w:rPr>
                <w:rFonts w:hint="default" w:ascii="Times New Roman" w:hAnsi="Times New Roman" w:eastAsia="Segoe UI" w:cs="Times New Roman"/>
                <w:b w:val="0"/>
                <w:i w:val="0"/>
                <w:iCs w:val="0"/>
                <w:caps w:val="0"/>
                <w:color w:val="000000"/>
                <w:spacing w:val="0"/>
                <w:sz w:val="24"/>
                <w:szCs w:val="24"/>
                <w:highlight w:val="none"/>
              </w:rPr>
              <w:t>7.1应建立碳排放统计报表制度，将碳排放计量数据作为统计调查、统计分析和报告的基础。</w:t>
            </w:r>
          </w:p>
        </w:tc>
        <w:tc>
          <w:tcPr>
            <w:tcW w:w="762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501B2F3">
            <w:pPr>
              <w:keepNext w:val="0"/>
              <w:keepLines w:val="0"/>
              <w:widowControl/>
              <w:suppressLineNumbers w:val="0"/>
              <w:snapToGrid w:val="0"/>
              <w:spacing w:before="0" w:beforeAutospacing="0" w:after="0" w:afterAutospacing="0" w:line="420" w:lineRule="atLeast"/>
              <w:ind w:left="0" w:leftChars="0" w:right="0" w:rightChars="0" w:firstLine="0" w:firstLineChars="0"/>
              <w:jc w:val="left"/>
              <w:rPr>
                <w:rFonts w:hint="default" w:ascii="Times New Roman" w:hAnsi="Times New Roman" w:eastAsia="Segoe UI" w:cs="Times New Roman"/>
                <w:b w:val="0"/>
                <w:i w:val="0"/>
                <w:iCs w:val="0"/>
                <w:caps w:val="0"/>
                <w:color w:val="000000"/>
                <w:spacing w:val="0"/>
                <w:sz w:val="24"/>
                <w:szCs w:val="24"/>
                <w:highlight w:val="none"/>
              </w:rPr>
            </w:pPr>
            <w:r>
              <w:rPr>
                <w:rFonts w:hint="default" w:ascii="Times New Roman" w:hAnsi="Times New Roman" w:eastAsia="Segoe UI" w:cs="Times New Roman"/>
                <w:b w:val="0"/>
                <w:i w:val="0"/>
                <w:iCs w:val="0"/>
                <w:caps w:val="0"/>
                <w:color w:val="000000"/>
                <w:spacing w:val="0"/>
                <w:sz w:val="24"/>
                <w:szCs w:val="24"/>
                <w:highlight w:val="none"/>
              </w:rPr>
              <w:t>1.制定《碳排放统计报表制度》，明确报表类型（日报、月报、季报）；</w:t>
            </w:r>
          </w:p>
          <w:p w14:paraId="144A0AA4">
            <w:pPr>
              <w:keepNext w:val="0"/>
              <w:keepLines w:val="0"/>
              <w:widowControl/>
              <w:suppressLineNumbers w:val="0"/>
              <w:snapToGrid w:val="0"/>
              <w:spacing w:before="0" w:beforeAutospacing="0" w:after="0" w:afterAutospacing="0" w:line="420" w:lineRule="atLeast"/>
              <w:ind w:left="0" w:leftChars="0" w:right="0" w:rightChars="0" w:firstLine="0" w:firstLineChars="0"/>
              <w:jc w:val="left"/>
              <w:rPr>
                <w:rFonts w:hint="default" w:ascii="Times New Roman" w:hAnsi="Times New Roman" w:eastAsia="Segoe UI" w:cs="Times New Roman"/>
                <w:b w:val="0"/>
                <w:i w:val="0"/>
                <w:iCs w:val="0"/>
                <w:caps w:val="0"/>
                <w:color w:val="000000"/>
                <w:spacing w:val="0"/>
                <w:sz w:val="24"/>
                <w:szCs w:val="24"/>
                <w:highlight w:val="none"/>
              </w:rPr>
            </w:pPr>
            <w:r>
              <w:rPr>
                <w:rFonts w:hint="default" w:ascii="Times New Roman" w:hAnsi="Times New Roman" w:eastAsia="Segoe UI" w:cs="Times New Roman"/>
                <w:b w:val="0"/>
                <w:i w:val="0"/>
                <w:iCs w:val="0"/>
                <w:caps w:val="0"/>
                <w:color w:val="000000"/>
                <w:spacing w:val="0"/>
                <w:sz w:val="24"/>
                <w:szCs w:val="24"/>
                <w:highlight w:val="none"/>
              </w:rPr>
              <w:t>2.日报：记录当日各设备能耗（如塔吊用电量、挖掘机柴油消耗量）；</w:t>
            </w:r>
          </w:p>
          <w:p w14:paraId="19403828">
            <w:pPr>
              <w:keepNext w:val="0"/>
              <w:keepLines w:val="0"/>
              <w:widowControl/>
              <w:suppressLineNumbers w:val="0"/>
              <w:snapToGrid w:val="0"/>
              <w:spacing w:before="0" w:beforeAutospacing="0" w:after="0" w:afterAutospacing="0" w:line="420" w:lineRule="atLeast"/>
              <w:ind w:left="0" w:leftChars="0" w:right="0" w:rightChars="0" w:firstLine="0" w:firstLineChars="0"/>
              <w:jc w:val="left"/>
              <w:rPr>
                <w:rFonts w:hint="default" w:ascii="Times New Roman" w:hAnsi="Times New Roman" w:eastAsia="Segoe UI" w:cs="Times New Roman"/>
                <w:b w:val="0"/>
                <w:i w:val="0"/>
                <w:iCs w:val="0"/>
                <w:caps w:val="0"/>
                <w:color w:val="000000"/>
                <w:spacing w:val="0"/>
                <w:sz w:val="24"/>
                <w:szCs w:val="24"/>
                <w:highlight w:val="none"/>
              </w:rPr>
            </w:pPr>
            <w:r>
              <w:rPr>
                <w:rFonts w:hint="default" w:ascii="Times New Roman" w:hAnsi="Times New Roman" w:eastAsia="Segoe UI" w:cs="Times New Roman"/>
                <w:b w:val="0"/>
                <w:i w:val="0"/>
                <w:iCs w:val="0"/>
                <w:caps w:val="0"/>
                <w:color w:val="000000"/>
                <w:spacing w:val="0"/>
                <w:sz w:val="24"/>
                <w:szCs w:val="24"/>
                <w:highlight w:val="none"/>
              </w:rPr>
              <w:t>3.月报：汇总月度碳排放总量，分析各排放源占比（如柴油燃烧排放占比60%、电力排放占比35%）；</w:t>
            </w:r>
          </w:p>
          <w:p w14:paraId="750EB2C1">
            <w:pPr>
              <w:keepNext w:val="0"/>
              <w:keepLines w:val="0"/>
              <w:widowControl/>
              <w:suppressLineNumbers w:val="0"/>
              <w:snapToGrid w:val="0"/>
              <w:spacing w:before="0" w:beforeAutospacing="0" w:after="0" w:afterAutospacing="0" w:line="420" w:lineRule="atLeast"/>
              <w:ind w:left="0" w:leftChars="0" w:right="0" w:rightChars="0" w:firstLine="0" w:firstLineChars="0"/>
              <w:jc w:val="left"/>
              <w:rPr>
                <w:rFonts w:hint="default" w:ascii="Times New Roman" w:hAnsi="Times New Roman" w:eastAsia="Segoe UI" w:cs="Times New Roman"/>
                <w:b w:val="0"/>
                <w:i w:val="0"/>
                <w:iCs w:val="0"/>
                <w:caps w:val="0"/>
                <w:color w:val="000000"/>
                <w:spacing w:val="0"/>
                <w:sz w:val="24"/>
                <w:szCs w:val="24"/>
                <w:highlight w:val="none"/>
              </w:rPr>
            </w:pPr>
            <w:r>
              <w:rPr>
                <w:rFonts w:hint="default" w:ascii="Times New Roman" w:hAnsi="Times New Roman" w:eastAsia="Segoe UI" w:cs="Times New Roman"/>
                <w:b w:val="0"/>
                <w:i w:val="0"/>
                <w:iCs w:val="0"/>
                <w:caps w:val="0"/>
                <w:color w:val="000000"/>
                <w:spacing w:val="0"/>
                <w:sz w:val="24"/>
                <w:szCs w:val="24"/>
                <w:highlight w:val="none"/>
              </w:rPr>
              <w:t>4.所有报表均以实测计量数据为依据，无估算数据。</w:t>
            </w:r>
          </w:p>
        </w:tc>
      </w:tr>
      <w:tr w14:paraId="5CB64B48">
        <w:tblPrEx>
          <w:tblBorders>
            <w:top w:val="single" w:color="auto" w:sz="6" w:space="0"/>
            <w:left w:val="single" w:color="auto" w:sz="2" w:space="0"/>
            <w:bottom w:val="single" w:color="auto" w:sz="2" w:space="0"/>
            <w:right w:val="single" w:color="auto" w:sz="2" w:space="0"/>
            <w:insideH w:val="none" w:color="auto" w:sz="0" w:space="0"/>
            <w:insideV w:val="none" w:color="auto" w:sz="0" w:space="0"/>
          </w:tblBorders>
          <w:shd w:val="clear" w:color="auto" w:fill="FFFFFF"/>
          <w:tblCellMar>
            <w:top w:w="80" w:type="dxa"/>
            <w:left w:w="128" w:type="dxa"/>
            <w:bottom w:w="80" w:type="dxa"/>
            <w:right w:w="128" w:type="dxa"/>
          </w:tblCellMar>
        </w:tblPrEx>
        <w:trPr>
          <w:trHeight w:val="0" w:hRule="atLeast"/>
          <w:jc w:val="center"/>
        </w:trPr>
        <w:tc>
          <w:tcPr>
            <w:tcW w:w="6549"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27E5F21F">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Segoe UI" w:cs="Times New Roman"/>
                <w:b w:val="0"/>
                <w:i w:val="0"/>
                <w:iCs w:val="0"/>
                <w:caps w:val="0"/>
                <w:color w:val="000000"/>
                <w:spacing w:val="0"/>
                <w:sz w:val="24"/>
                <w:szCs w:val="24"/>
                <w:highlight w:val="none"/>
              </w:rPr>
            </w:pPr>
            <w:r>
              <w:rPr>
                <w:rFonts w:hint="default" w:ascii="Times New Roman" w:hAnsi="Times New Roman" w:eastAsia="Segoe UI" w:cs="Times New Roman"/>
                <w:b w:val="0"/>
                <w:i w:val="0"/>
                <w:iCs w:val="0"/>
                <w:caps w:val="0"/>
                <w:color w:val="000000"/>
                <w:spacing w:val="0"/>
                <w:sz w:val="24"/>
                <w:szCs w:val="24"/>
                <w:highlight w:val="none"/>
              </w:rPr>
              <w:t>7.2碳计量数据采集应与碳计量器具实际测量结果相符，或按照规定的方法如实引用技术服务机构提供的数据，不得伪造或者篡改碳计量数据。</w:t>
            </w:r>
          </w:p>
        </w:tc>
        <w:tc>
          <w:tcPr>
            <w:tcW w:w="762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F83542F">
            <w:pPr>
              <w:keepNext w:val="0"/>
              <w:keepLines w:val="0"/>
              <w:widowControl/>
              <w:suppressLineNumbers w:val="0"/>
              <w:snapToGrid w:val="0"/>
              <w:spacing w:before="0" w:beforeAutospacing="0" w:after="0" w:afterAutospacing="0" w:line="420" w:lineRule="atLeast"/>
              <w:ind w:left="0" w:leftChars="0" w:right="0" w:rightChars="0" w:firstLine="0" w:firstLineChars="0"/>
              <w:jc w:val="left"/>
              <w:rPr>
                <w:rFonts w:hint="default" w:ascii="Times New Roman" w:hAnsi="Times New Roman" w:eastAsia="Segoe UI" w:cs="Times New Roman"/>
                <w:b w:val="0"/>
                <w:i w:val="0"/>
                <w:iCs w:val="0"/>
                <w:caps w:val="0"/>
                <w:color w:val="000000"/>
                <w:spacing w:val="0"/>
                <w:sz w:val="24"/>
                <w:szCs w:val="24"/>
                <w:highlight w:val="none"/>
              </w:rPr>
            </w:pPr>
            <w:r>
              <w:rPr>
                <w:rFonts w:hint="default" w:ascii="Times New Roman" w:hAnsi="Times New Roman" w:eastAsia="Segoe UI" w:cs="Times New Roman"/>
                <w:b w:val="0"/>
                <w:i w:val="0"/>
                <w:iCs w:val="0"/>
                <w:caps w:val="0"/>
                <w:color w:val="000000"/>
                <w:spacing w:val="0"/>
                <w:sz w:val="24"/>
                <w:szCs w:val="24"/>
                <w:highlight w:val="none"/>
              </w:rPr>
              <w:t>1.所有数据直接取自智能器具自动上传或人工抄录（如电表读数、流量计数据），与柴油发票（如2023年4月No.13691488发票）交叉核对，确保一致；</w:t>
            </w:r>
          </w:p>
          <w:p w14:paraId="0D57244E">
            <w:pPr>
              <w:keepNext w:val="0"/>
              <w:keepLines w:val="0"/>
              <w:widowControl/>
              <w:suppressLineNumbers w:val="0"/>
              <w:snapToGrid w:val="0"/>
              <w:spacing w:before="0" w:beforeAutospacing="0" w:after="0" w:afterAutospacing="0" w:line="420" w:lineRule="atLeast"/>
              <w:ind w:left="0" w:leftChars="0" w:right="0" w:rightChars="0" w:firstLine="0" w:firstLineChars="0"/>
              <w:jc w:val="left"/>
              <w:rPr>
                <w:rFonts w:hint="default" w:ascii="Times New Roman" w:hAnsi="Times New Roman" w:eastAsia="Segoe UI" w:cs="Times New Roman"/>
                <w:b w:val="0"/>
                <w:i w:val="0"/>
                <w:iCs w:val="0"/>
                <w:caps w:val="0"/>
                <w:color w:val="000000"/>
                <w:spacing w:val="0"/>
                <w:sz w:val="24"/>
                <w:szCs w:val="24"/>
                <w:highlight w:val="none"/>
              </w:rPr>
            </w:pPr>
            <w:r>
              <w:rPr>
                <w:rFonts w:hint="default" w:ascii="Times New Roman" w:hAnsi="Times New Roman" w:eastAsia="Segoe UI" w:cs="Times New Roman"/>
                <w:b w:val="0"/>
                <w:i w:val="0"/>
                <w:iCs w:val="0"/>
                <w:caps w:val="0"/>
                <w:color w:val="000000"/>
                <w:spacing w:val="0"/>
                <w:sz w:val="24"/>
                <w:szCs w:val="24"/>
                <w:highlight w:val="none"/>
              </w:rPr>
              <w:t>2.仅对光伏减碳量引用第三方机构（建科环能科技有限公司）检测数据，在报表中明确标注数据来源，无伪造、篡改行为。</w:t>
            </w:r>
          </w:p>
        </w:tc>
      </w:tr>
      <w:tr w14:paraId="4EF0A384">
        <w:tblPrEx>
          <w:tblBorders>
            <w:top w:val="single" w:color="auto" w:sz="6" w:space="0"/>
            <w:left w:val="single" w:color="auto" w:sz="2" w:space="0"/>
            <w:bottom w:val="single" w:color="auto" w:sz="2" w:space="0"/>
            <w:right w:val="single" w:color="auto" w:sz="2" w:space="0"/>
            <w:insideH w:val="none" w:color="auto" w:sz="0" w:space="0"/>
            <w:insideV w:val="none" w:color="auto" w:sz="0" w:space="0"/>
          </w:tblBorders>
          <w:shd w:val="clear" w:color="auto" w:fill="FFFFFF"/>
          <w:tblCellMar>
            <w:top w:w="80" w:type="dxa"/>
            <w:left w:w="128" w:type="dxa"/>
            <w:bottom w:w="80" w:type="dxa"/>
            <w:right w:w="128" w:type="dxa"/>
          </w:tblCellMar>
        </w:tblPrEx>
        <w:trPr>
          <w:trHeight w:val="0" w:hRule="atLeast"/>
          <w:jc w:val="center"/>
        </w:trPr>
        <w:tc>
          <w:tcPr>
            <w:tcW w:w="6549"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6A311717">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Segoe UI" w:cs="Times New Roman"/>
                <w:b w:val="0"/>
                <w:i w:val="0"/>
                <w:iCs w:val="0"/>
                <w:caps w:val="0"/>
                <w:color w:val="000000"/>
                <w:spacing w:val="0"/>
                <w:sz w:val="24"/>
                <w:szCs w:val="24"/>
                <w:highlight w:val="none"/>
              </w:rPr>
            </w:pPr>
            <w:r>
              <w:rPr>
                <w:rFonts w:hint="default" w:ascii="Times New Roman" w:hAnsi="Times New Roman" w:eastAsia="Segoe UI" w:cs="Times New Roman"/>
                <w:b w:val="0"/>
                <w:i w:val="0"/>
                <w:iCs w:val="0"/>
                <w:caps w:val="0"/>
                <w:color w:val="000000"/>
                <w:spacing w:val="0"/>
                <w:sz w:val="24"/>
                <w:szCs w:val="24"/>
                <w:highlight w:val="none"/>
              </w:rPr>
              <w:t>7.3碳排放计量人员应定期进行计量数据采集和记录，记录应完整、真实、准确、可靠，并按规定的期限予以保存，以满足碳排放计量管理的要求。</w:t>
            </w:r>
          </w:p>
        </w:tc>
        <w:tc>
          <w:tcPr>
            <w:tcW w:w="762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DB84695">
            <w:pPr>
              <w:keepNext w:val="0"/>
              <w:keepLines w:val="0"/>
              <w:widowControl/>
              <w:suppressLineNumbers w:val="0"/>
              <w:snapToGrid w:val="0"/>
              <w:spacing w:before="0" w:beforeAutospacing="0" w:after="0" w:afterAutospacing="0" w:line="420" w:lineRule="atLeast"/>
              <w:ind w:left="0" w:leftChars="0" w:right="0" w:rightChars="0" w:firstLine="0" w:firstLineChars="0"/>
              <w:jc w:val="left"/>
              <w:rPr>
                <w:rFonts w:hint="default" w:ascii="Times New Roman" w:hAnsi="Times New Roman" w:eastAsia="Segoe UI" w:cs="Times New Roman"/>
                <w:b w:val="0"/>
                <w:i w:val="0"/>
                <w:iCs w:val="0"/>
                <w:caps w:val="0"/>
                <w:color w:val="000000"/>
                <w:spacing w:val="0"/>
                <w:sz w:val="24"/>
                <w:szCs w:val="24"/>
                <w:highlight w:val="none"/>
              </w:rPr>
            </w:pPr>
            <w:r>
              <w:rPr>
                <w:rFonts w:hint="default" w:ascii="Times New Roman" w:hAnsi="Times New Roman" w:eastAsia="Segoe UI" w:cs="Times New Roman"/>
                <w:b w:val="0"/>
                <w:i w:val="0"/>
                <w:iCs w:val="0"/>
                <w:caps w:val="0"/>
                <w:color w:val="000000"/>
                <w:spacing w:val="0"/>
                <w:sz w:val="24"/>
                <w:szCs w:val="24"/>
                <w:highlight w:val="none"/>
              </w:rPr>
              <w:t>1.计量人员每日9:00采集现场器具数据，填写《碳计量抄表记录》，记录内容包括：器具编号、采集时间、数据值、采集人签字，无缺项漏项；</w:t>
            </w:r>
          </w:p>
          <w:p w14:paraId="0C0F5129">
            <w:pPr>
              <w:keepNext w:val="0"/>
              <w:keepLines w:val="0"/>
              <w:widowControl/>
              <w:suppressLineNumbers w:val="0"/>
              <w:snapToGrid w:val="0"/>
              <w:spacing w:before="0" w:beforeAutospacing="0" w:after="0" w:afterAutospacing="0" w:line="420" w:lineRule="atLeast"/>
              <w:ind w:left="0" w:leftChars="0" w:right="0" w:rightChars="0" w:firstLine="0" w:firstLineChars="0"/>
              <w:jc w:val="left"/>
              <w:rPr>
                <w:rFonts w:hint="default" w:ascii="Times New Roman" w:hAnsi="Times New Roman" w:eastAsia="Segoe UI" w:cs="Times New Roman"/>
                <w:b w:val="0"/>
                <w:i w:val="0"/>
                <w:iCs w:val="0"/>
                <w:caps w:val="0"/>
                <w:color w:val="000000"/>
                <w:spacing w:val="0"/>
                <w:sz w:val="24"/>
                <w:szCs w:val="24"/>
                <w:highlight w:val="none"/>
              </w:rPr>
            </w:pPr>
            <w:r>
              <w:rPr>
                <w:rFonts w:hint="default" w:ascii="Times New Roman" w:hAnsi="Times New Roman" w:eastAsia="Segoe UI" w:cs="Times New Roman"/>
                <w:b w:val="0"/>
                <w:i w:val="0"/>
                <w:iCs w:val="0"/>
                <w:caps w:val="0"/>
                <w:color w:val="000000"/>
                <w:spacing w:val="0"/>
                <w:sz w:val="24"/>
                <w:szCs w:val="24"/>
                <w:highlight w:val="none"/>
              </w:rPr>
              <w:t>2.记录保存至项目竣工后5年以上，满足管理追溯需求。</w:t>
            </w:r>
          </w:p>
        </w:tc>
      </w:tr>
      <w:tr w14:paraId="52C42141">
        <w:tblPrEx>
          <w:tblBorders>
            <w:top w:val="single" w:color="auto" w:sz="6" w:space="0"/>
            <w:left w:val="single" w:color="auto" w:sz="2" w:space="0"/>
            <w:bottom w:val="single" w:color="auto" w:sz="2" w:space="0"/>
            <w:right w:val="single" w:color="auto" w:sz="2" w:space="0"/>
            <w:insideH w:val="none" w:color="auto" w:sz="0" w:space="0"/>
            <w:insideV w:val="none" w:color="auto" w:sz="0" w:space="0"/>
          </w:tblBorders>
          <w:shd w:val="clear" w:color="auto" w:fill="FFFFFF"/>
          <w:tblCellMar>
            <w:top w:w="80" w:type="dxa"/>
            <w:left w:w="128" w:type="dxa"/>
            <w:bottom w:w="80" w:type="dxa"/>
            <w:right w:w="128" w:type="dxa"/>
          </w:tblCellMar>
        </w:tblPrEx>
        <w:trPr>
          <w:trHeight w:val="0" w:hRule="atLeast"/>
          <w:jc w:val="center"/>
        </w:trPr>
        <w:tc>
          <w:tcPr>
            <w:tcW w:w="6549"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6E0949D0">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Segoe UI" w:cs="Times New Roman"/>
                <w:b w:val="0"/>
                <w:i w:val="0"/>
                <w:iCs w:val="0"/>
                <w:caps w:val="0"/>
                <w:color w:val="000000"/>
                <w:spacing w:val="0"/>
                <w:sz w:val="24"/>
                <w:szCs w:val="24"/>
                <w:highlight w:val="none"/>
              </w:rPr>
            </w:pPr>
            <w:r>
              <w:rPr>
                <w:rFonts w:hint="default" w:ascii="Times New Roman" w:hAnsi="Times New Roman" w:eastAsia="Segoe UI" w:cs="Times New Roman"/>
                <w:b w:val="0"/>
                <w:i w:val="0"/>
                <w:iCs w:val="0"/>
                <w:caps w:val="0"/>
                <w:color w:val="000000"/>
                <w:spacing w:val="0"/>
                <w:sz w:val="24"/>
                <w:szCs w:val="24"/>
                <w:highlight w:val="none"/>
              </w:rPr>
              <w:t>7.4碳排放计量数据应使用规范的数据采集记录（抄表记录）格式，记录表格格式应便于数据的汇总与分析。</w:t>
            </w:r>
          </w:p>
        </w:tc>
        <w:tc>
          <w:tcPr>
            <w:tcW w:w="762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523C2B9">
            <w:pPr>
              <w:keepNext w:val="0"/>
              <w:keepLines w:val="0"/>
              <w:widowControl/>
              <w:suppressLineNumbers w:val="0"/>
              <w:snapToGrid w:val="0"/>
              <w:spacing w:before="0" w:beforeAutospacing="0" w:after="0" w:afterAutospacing="0" w:line="420" w:lineRule="atLeast"/>
              <w:ind w:left="0" w:leftChars="0" w:right="0" w:rightChars="0" w:firstLine="0" w:firstLineChars="0"/>
              <w:jc w:val="left"/>
              <w:rPr>
                <w:rFonts w:hint="default" w:ascii="Times New Roman" w:hAnsi="Times New Roman" w:eastAsia="宋体" w:cs="Times New Roman"/>
                <w:b w:val="0"/>
                <w:i w:val="0"/>
                <w:iCs w:val="0"/>
                <w:caps w:val="0"/>
                <w:color w:val="000000"/>
                <w:spacing w:val="0"/>
                <w:sz w:val="24"/>
                <w:szCs w:val="24"/>
                <w:highlight w:val="none"/>
                <w:lang w:eastAsia="zh-CN"/>
              </w:rPr>
            </w:pPr>
            <w:r>
              <w:rPr>
                <w:rFonts w:hint="default" w:ascii="Times New Roman" w:hAnsi="Times New Roman" w:eastAsia="宋体" w:cs="Times New Roman"/>
                <w:b w:val="0"/>
                <w:i w:val="0"/>
                <w:iCs w:val="0"/>
                <w:caps w:val="0"/>
                <w:color w:val="000000"/>
                <w:spacing w:val="0"/>
                <w:sz w:val="24"/>
                <w:szCs w:val="24"/>
                <w:highlight w:val="none"/>
                <w:lang w:val="en-US" w:eastAsia="zh-CN"/>
              </w:rPr>
              <w:t>1.</w:t>
            </w:r>
            <w:r>
              <w:rPr>
                <w:rFonts w:hint="default" w:ascii="Times New Roman" w:hAnsi="Times New Roman" w:eastAsia="Segoe UI" w:cs="Times New Roman"/>
                <w:b w:val="0"/>
                <w:i w:val="0"/>
                <w:iCs w:val="0"/>
                <w:caps w:val="0"/>
                <w:color w:val="000000"/>
                <w:spacing w:val="0"/>
                <w:sz w:val="24"/>
                <w:szCs w:val="24"/>
                <w:highlight w:val="none"/>
              </w:rPr>
              <w:t>试点项目针对不同类型计量器具（电表、涡轮流量计、智能水表），设计了分类统一的抄表记录表格，所有表格均以“纸质填写+电子存档”双模式执行</w:t>
            </w:r>
            <w:r>
              <w:rPr>
                <w:rFonts w:hint="default" w:ascii="Times New Roman" w:hAnsi="Times New Roman" w:eastAsia="宋体" w:cs="Times New Roman"/>
                <w:b w:val="0"/>
                <w:i w:val="0"/>
                <w:iCs w:val="0"/>
                <w:caps w:val="0"/>
                <w:color w:val="000000"/>
                <w:spacing w:val="0"/>
                <w:sz w:val="24"/>
                <w:szCs w:val="24"/>
                <w:highlight w:val="none"/>
                <w:lang w:eastAsia="zh-CN"/>
              </w:rPr>
              <w:t>；</w:t>
            </w:r>
          </w:p>
          <w:p w14:paraId="0F5E3A92">
            <w:pPr>
              <w:keepNext w:val="0"/>
              <w:keepLines w:val="0"/>
              <w:widowControl/>
              <w:suppressLineNumbers w:val="0"/>
              <w:snapToGrid w:val="0"/>
              <w:spacing w:before="0" w:beforeAutospacing="0" w:after="0" w:afterAutospacing="0" w:line="420" w:lineRule="atLeast"/>
              <w:ind w:left="0" w:leftChars="0" w:right="0" w:rightChars="0" w:firstLine="0" w:firstLineChars="0"/>
              <w:jc w:val="left"/>
              <w:rPr>
                <w:rFonts w:hint="default" w:ascii="Times New Roman" w:hAnsi="Times New Roman" w:eastAsia="宋体" w:cs="Times New Roman"/>
                <w:b w:val="0"/>
                <w:i w:val="0"/>
                <w:iCs w:val="0"/>
                <w:caps w:val="0"/>
                <w:color w:val="000000"/>
                <w:spacing w:val="0"/>
                <w:sz w:val="24"/>
                <w:szCs w:val="24"/>
                <w:highlight w:val="none"/>
                <w:lang w:eastAsia="zh-CN"/>
              </w:rPr>
            </w:pPr>
            <w:r>
              <w:rPr>
                <w:rFonts w:hint="default" w:ascii="Times New Roman" w:hAnsi="Times New Roman" w:eastAsia="宋体" w:cs="Times New Roman"/>
                <w:b w:val="0"/>
                <w:i w:val="0"/>
                <w:iCs w:val="0"/>
                <w:caps w:val="0"/>
                <w:color w:val="000000"/>
                <w:spacing w:val="0"/>
                <w:sz w:val="24"/>
                <w:szCs w:val="24"/>
                <w:highlight w:val="none"/>
                <w:lang w:val="en-US" w:eastAsia="zh-CN"/>
              </w:rPr>
              <w:t>2.</w:t>
            </w:r>
            <w:r>
              <w:rPr>
                <w:rFonts w:hint="default" w:ascii="Times New Roman" w:hAnsi="Times New Roman" w:eastAsia="宋体" w:cs="Times New Roman"/>
                <w:b w:val="0"/>
                <w:i w:val="0"/>
                <w:iCs w:val="0"/>
                <w:caps w:val="0"/>
                <w:color w:val="000000"/>
                <w:spacing w:val="0"/>
                <w:sz w:val="24"/>
                <w:szCs w:val="24"/>
                <w:highlight w:val="none"/>
                <w:lang w:eastAsia="zh-CN"/>
              </w:rPr>
              <w:t>所有抄表记录表格的 “核心字段”（如器具编号、采集日期、本期消耗量）均采用统一命名、统一数据格式（如日期格式“YYYY-MM-DD”、数值保留2位小数），可直接通过Excel“数据透视表”或智慧工地平台“批量导入”功能实现快速汇总。</w:t>
            </w:r>
          </w:p>
        </w:tc>
      </w:tr>
      <w:tr w14:paraId="66DE5EDC">
        <w:tblPrEx>
          <w:tblBorders>
            <w:top w:val="single" w:color="auto" w:sz="6" w:space="0"/>
            <w:left w:val="single" w:color="auto" w:sz="2" w:space="0"/>
            <w:bottom w:val="single" w:color="auto" w:sz="2" w:space="0"/>
            <w:right w:val="single" w:color="auto" w:sz="2" w:space="0"/>
            <w:insideH w:val="none" w:color="auto" w:sz="0" w:space="0"/>
            <w:insideV w:val="none" w:color="auto" w:sz="0" w:space="0"/>
          </w:tblBorders>
          <w:tblCellMar>
            <w:top w:w="80" w:type="dxa"/>
            <w:left w:w="128" w:type="dxa"/>
            <w:bottom w:w="80" w:type="dxa"/>
            <w:right w:w="128" w:type="dxa"/>
          </w:tblCellMar>
        </w:tblPrEx>
        <w:trPr>
          <w:trHeight w:val="0" w:hRule="atLeast"/>
          <w:jc w:val="center"/>
        </w:trPr>
        <w:tc>
          <w:tcPr>
            <w:tcW w:w="6549"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1163E206">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Segoe UI" w:cs="Times New Roman"/>
                <w:b w:val="0"/>
                <w:i w:val="0"/>
                <w:iCs w:val="0"/>
                <w:caps w:val="0"/>
                <w:color w:val="000000"/>
                <w:spacing w:val="0"/>
                <w:sz w:val="24"/>
                <w:szCs w:val="24"/>
                <w:highlight w:val="none"/>
              </w:rPr>
            </w:pPr>
            <w:r>
              <w:rPr>
                <w:rFonts w:hint="default" w:ascii="Times New Roman" w:hAnsi="Times New Roman" w:eastAsia="Segoe UI" w:cs="Times New Roman"/>
                <w:b w:val="0"/>
                <w:i w:val="0"/>
                <w:iCs w:val="0"/>
                <w:caps w:val="0"/>
                <w:color w:val="000000"/>
                <w:spacing w:val="0"/>
                <w:sz w:val="24"/>
                <w:szCs w:val="24"/>
                <w:highlight w:val="none"/>
              </w:rPr>
              <w:t>7.5宜根据需要建立碳排放计量数据管理中心，利用计算机技术实现碳计量数据的网络化管理，及时采集碳计量数据并备份归档。</w:t>
            </w:r>
          </w:p>
        </w:tc>
        <w:tc>
          <w:tcPr>
            <w:tcW w:w="762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86F3B9B">
            <w:pPr>
              <w:keepNext w:val="0"/>
              <w:keepLines w:val="0"/>
              <w:widowControl/>
              <w:suppressLineNumbers w:val="0"/>
              <w:snapToGrid w:val="0"/>
              <w:spacing w:before="0" w:beforeAutospacing="0" w:after="0" w:afterAutospacing="0" w:line="420" w:lineRule="atLeast"/>
              <w:ind w:left="0" w:leftChars="0" w:right="0" w:rightChars="0" w:firstLine="0" w:firstLineChars="0"/>
              <w:jc w:val="left"/>
              <w:rPr>
                <w:rFonts w:hint="default" w:ascii="Times New Roman" w:hAnsi="Times New Roman" w:eastAsia="Segoe UI" w:cs="Times New Roman"/>
                <w:b w:val="0"/>
                <w:i w:val="0"/>
                <w:iCs w:val="0"/>
                <w:caps w:val="0"/>
                <w:color w:val="000000"/>
                <w:spacing w:val="0"/>
                <w:sz w:val="24"/>
                <w:szCs w:val="24"/>
                <w:highlight w:val="none"/>
              </w:rPr>
            </w:pPr>
            <w:r>
              <w:rPr>
                <w:rFonts w:hint="default" w:ascii="Times New Roman" w:hAnsi="Times New Roman" w:eastAsia="Segoe UI" w:cs="Times New Roman"/>
                <w:b w:val="0"/>
                <w:i w:val="0"/>
                <w:iCs w:val="0"/>
                <w:caps w:val="0"/>
                <w:color w:val="000000"/>
                <w:spacing w:val="0"/>
                <w:sz w:val="24"/>
                <w:szCs w:val="24"/>
                <w:highlight w:val="none"/>
              </w:rPr>
              <w:t>搭建智慧工地数据管理中心，与所有智能计量器具联网：</w:t>
            </w:r>
          </w:p>
          <w:p w14:paraId="7316AB20">
            <w:pPr>
              <w:keepNext w:val="0"/>
              <w:keepLines w:val="0"/>
              <w:widowControl/>
              <w:suppressLineNumbers w:val="0"/>
              <w:snapToGrid w:val="0"/>
              <w:spacing w:before="0" w:beforeAutospacing="0" w:after="0" w:afterAutospacing="0" w:line="420" w:lineRule="atLeast"/>
              <w:ind w:left="0" w:leftChars="0" w:right="0" w:rightChars="0" w:firstLine="0" w:firstLineChars="0"/>
              <w:jc w:val="left"/>
              <w:rPr>
                <w:rFonts w:hint="default" w:ascii="Times New Roman" w:hAnsi="Times New Roman" w:eastAsia="Segoe UI" w:cs="Times New Roman"/>
                <w:b w:val="0"/>
                <w:i w:val="0"/>
                <w:iCs w:val="0"/>
                <w:caps w:val="0"/>
                <w:color w:val="000000"/>
                <w:spacing w:val="0"/>
                <w:sz w:val="24"/>
                <w:szCs w:val="24"/>
                <w:highlight w:val="none"/>
              </w:rPr>
            </w:pPr>
            <w:r>
              <w:rPr>
                <w:rFonts w:hint="default" w:ascii="Times New Roman" w:hAnsi="Times New Roman" w:eastAsia="Segoe UI" w:cs="Times New Roman"/>
                <w:b w:val="0"/>
                <w:i w:val="0"/>
                <w:iCs w:val="0"/>
                <w:caps w:val="0"/>
                <w:color w:val="000000"/>
                <w:spacing w:val="0"/>
                <w:sz w:val="24"/>
                <w:szCs w:val="24"/>
                <w:highlight w:val="none"/>
              </w:rPr>
              <w:t>1.实时采集电表、流量计数据，自动生成能耗曲线；</w:t>
            </w:r>
          </w:p>
          <w:p w14:paraId="64C30EB8">
            <w:pPr>
              <w:keepNext w:val="0"/>
              <w:keepLines w:val="0"/>
              <w:widowControl/>
              <w:suppressLineNumbers w:val="0"/>
              <w:snapToGrid w:val="0"/>
              <w:spacing w:before="0" w:beforeAutospacing="0" w:after="0" w:afterAutospacing="0" w:line="420" w:lineRule="atLeast"/>
              <w:ind w:left="0" w:leftChars="0" w:right="0" w:rightChars="0" w:firstLine="0" w:firstLineChars="0"/>
              <w:jc w:val="left"/>
              <w:rPr>
                <w:rFonts w:hint="default" w:ascii="Times New Roman" w:hAnsi="Times New Roman" w:eastAsia="Segoe UI" w:cs="Times New Roman"/>
                <w:b w:val="0"/>
                <w:i w:val="0"/>
                <w:iCs w:val="0"/>
                <w:caps w:val="0"/>
                <w:color w:val="000000"/>
                <w:spacing w:val="0"/>
                <w:sz w:val="24"/>
                <w:szCs w:val="24"/>
                <w:highlight w:val="none"/>
              </w:rPr>
            </w:pPr>
            <w:r>
              <w:rPr>
                <w:rFonts w:hint="default" w:ascii="Times New Roman" w:hAnsi="Times New Roman" w:eastAsia="Segoe UI" w:cs="Times New Roman"/>
                <w:b w:val="0"/>
                <w:i w:val="0"/>
                <w:iCs w:val="0"/>
                <w:caps w:val="0"/>
                <w:color w:val="000000"/>
                <w:spacing w:val="0"/>
                <w:sz w:val="24"/>
                <w:szCs w:val="24"/>
                <w:highlight w:val="none"/>
              </w:rPr>
              <w:t>2.每日24:00自动备份当日数据至云端，防止数据丢失；</w:t>
            </w:r>
          </w:p>
          <w:p w14:paraId="6A796456">
            <w:pPr>
              <w:keepNext w:val="0"/>
              <w:keepLines w:val="0"/>
              <w:widowControl/>
              <w:suppressLineNumbers w:val="0"/>
              <w:snapToGrid w:val="0"/>
              <w:spacing w:before="0" w:beforeAutospacing="0" w:after="0" w:afterAutospacing="0" w:line="420" w:lineRule="atLeast"/>
              <w:ind w:left="0" w:leftChars="0" w:right="0" w:rightChars="0" w:firstLine="0" w:firstLineChars="0"/>
              <w:jc w:val="left"/>
              <w:rPr>
                <w:rFonts w:hint="default" w:ascii="Times New Roman" w:hAnsi="Times New Roman" w:eastAsia="Segoe UI" w:cs="Times New Roman"/>
                <w:b w:val="0"/>
                <w:i w:val="0"/>
                <w:iCs w:val="0"/>
                <w:caps w:val="0"/>
                <w:color w:val="000000"/>
                <w:spacing w:val="0"/>
                <w:sz w:val="24"/>
                <w:szCs w:val="24"/>
                <w:highlight w:val="none"/>
              </w:rPr>
            </w:pPr>
            <w:r>
              <w:rPr>
                <w:rFonts w:hint="default" w:ascii="Times New Roman" w:hAnsi="Times New Roman" w:eastAsia="Segoe UI" w:cs="Times New Roman"/>
                <w:b w:val="0"/>
                <w:i w:val="0"/>
                <w:iCs w:val="0"/>
                <w:caps w:val="0"/>
                <w:color w:val="000000"/>
                <w:spacing w:val="0"/>
                <w:sz w:val="24"/>
                <w:szCs w:val="24"/>
                <w:highlight w:val="none"/>
              </w:rPr>
              <w:t>3.支持数据导出（Excel格式），便于后续分析与碳配额申报。</w:t>
            </w:r>
          </w:p>
        </w:tc>
      </w:tr>
      <w:tr w14:paraId="4E9BF9D1">
        <w:tblPrEx>
          <w:tblBorders>
            <w:top w:val="single" w:color="auto" w:sz="6" w:space="0"/>
            <w:left w:val="single" w:color="auto" w:sz="2" w:space="0"/>
            <w:bottom w:val="single" w:color="auto" w:sz="2" w:space="0"/>
            <w:right w:val="single" w:color="auto" w:sz="2" w:space="0"/>
            <w:insideH w:val="none" w:color="auto" w:sz="0" w:space="0"/>
            <w:insideV w:val="none" w:color="auto" w:sz="0" w:space="0"/>
          </w:tblBorders>
          <w:shd w:val="clear" w:color="auto" w:fill="FFFFFF"/>
          <w:tblCellMar>
            <w:top w:w="80" w:type="dxa"/>
            <w:left w:w="128" w:type="dxa"/>
            <w:bottom w:w="80" w:type="dxa"/>
            <w:right w:w="128" w:type="dxa"/>
          </w:tblCellMar>
        </w:tblPrEx>
        <w:trPr>
          <w:trHeight w:val="0" w:hRule="atLeast"/>
          <w:jc w:val="center"/>
        </w:trPr>
        <w:tc>
          <w:tcPr>
            <w:tcW w:w="6549"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3C8F7857">
            <w:pPr>
              <w:keepNext w:val="0"/>
              <w:keepLines w:val="0"/>
              <w:widowControl/>
              <w:suppressLineNumbers w:val="0"/>
              <w:snapToGrid w:val="0"/>
              <w:spacing w:before="0" w:beforeAutospacing="0" w:after="0" w:afterAutospacing="0" w:line="420" w:lineRule="atLeast"/>
              <w:ind w:left="0" w:right="0" w:firstLine="0"/>
              <w:jc w:val="left"/>
              <w:rPr>
                <w:rFonts w:hint="default" w:ascii="Times New Roman" w:hAnsi="Times New Roman" w:eastAsia="Segoe UI" w:cs="Times New Roman"/>
                <w:b w:val="0"/>
                <w:i w:val="0"/>
                <w:iCs w:val="0"/>
                <w:caps w:val="0"/>
                <w:color w:val="000000"/>
                <w:spacing w:val="0"/>
                <w:sz w:val="24"/>
                <w:szCs w:val="24"/>
                <w:highlight w:val="none"/>
              </w:rPr>
            </w:pPr>
            <w:r>
              <w:rPr>
                <w:rFonts w:hint="default" w:ascii="Times New Roman" w:hAnsi="Times New Roman" w:eastAsia="Segoe UI" w:cs="Times New Roman"/>
                <w:b w:val="0"/>
                <w:i w:val="0"/>
                <w:iCs w:val="0"/>
                <w:caps w:val="0"/>
                <w:color w:val="000000"/>
                <w:spacing w:val="0"/>
                <w:sz w:val="24"/>
                <w:szCs w:val="24"/>
                <w:highlight w:val="none"/>
              </w:rPr>
              <w:t>7.6碳排放计量原始记录保存期限应不低于5年。</w:t>
            </w:r>
          </w:p>
        </w:tc>
        <w:tc>
          <w:tcPr>
            <w:tcW w:w="762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2AD6920">
            <w:pPr>
              <w:keepNext w:val="0"/>
              <w:keepLines w:val="0"/>
              <w:widowControl/>
              <w:suppressLineNumbers w:val="0"/>
              <w:snapToGrid w:val="0"/>
              <w:spacing w:before="0" w:beforeAutospacing="0" w:after="0" w:afterAutospacing="0" w:line="420" w:lineRule="atLeast"/>
              <w:ind w:left="0" w:leftChars="0" w:right="0" w:rightChars="0" w:firstLine="0" w:firstLineChars="0"/>
              <w:jc w:val="left"/>
              <w:rPr>
                <w:rFonts w:hint="default" w:ascii="Times New Roman" w:hAnsi="Times New Roman" w:eastAsia="Segoe UI" w:cs="Times New Roman"/>
                <w:b w:val="0"/>
                <w:i w:val="0"/>
                <w:iCs w:val="0"/>
                <w:caps w:val="0"/>
                <w:color w:val="000000"/>
                <w:spacing w:val="0"/>
                <w:sz w:val="24"/>
                <w:szCs w:val="24"/>
                <w:highlight w:val="none"/>
              </w:rPr>
            </w:pPr>
            <w:r>
              <w:rPr>
                <w:rFonts w:hint="default" w:ascii="Times New Roman" w:hAnsi="Times New Roman" w:eastAsia="Segoe UI" w:cs="Times New Roman"/>
                <w:b w:val="0"/>
                <w:i w:val="0"/>
                <w:iCs w:val="0"/>
                <w:caps w:val="0"/>
                <w:color w:val="000000"/>
                <w:spacing w:val="0"/>
                <w:sz w:val="24"/>
                <w:szCs w:val="24"/>
                <w:highlight w:val="none"/>
              </w:rPr>
              <w:t>所有原始记录（抄表记录、检定证书、柴油发票、报表）均以“纸质+电子”双备份形式保存：</w:t>
            </w:r>
          </w:p>
          <w:p w14:paraId="12E52FC5">
            <w:pPr>
              <w:keepNext w:val="0"/>
              <w:keepLines w:val="0"/>
              <w:widowControl/>
              <w:suppressLineNumbers w:val="0"/>
              <w:snapToGrid w:val="0"/>
              <w:spacing w:before="0" w:beforeAutospacing="0" w:after="0" w:afterAutospacing="0" w:line="420" w:lineRule="atLeast"/>
              <w:ind w:left="0" w:leftChars="0" w:right="0" w:rightChars="0" w:firstLine="0" w:firstLineChars="0"/>
              <w:jc w:val="left"/>
              <w:rPr>
                <w:rFonts w:hint="default" w:ascii="Times New Roman" w:hAnsi="Times New Roman" w:eastAsia="Segoe UI" w:cs="Times New Roman"/>
                <w:b w:val="0"/>
                <w:i w:val="0"/>
                <w:iCs w:val="0"/>
                <w:caps w:val="0"/>
                <w:color w:val="000000"/>
                <w:spacing w:val="0"/>
                <w:sz w:val="24"/>
                <w:szCs w:val="24"/>
                <w:highlight w:val="none"/>
              </w:rPr>
            </w:pPr>
            <w:r>
              <w:rPr>
                <w:rFonts w:hint="default" w:ascii="Times New Roman" w:hAnsi="Times New Roman" w:eastAsia="Segoe UI" w:cs="Times New Roman"/>
                <w:b w:val="0"/>
                <w:i w:val="0"/>
                <w:iCs w:val="0"/>
                <w:caps w:val="0"/>
                <w:color w:val="000000"/>
                <w:spacing w:val="0"/>
                <w:sz w:val="24"/>
                <w:szCs w:val="24"/>
                <w:highlight w:val="none"/>
              </w:rPr>
              <w:t>1.纸质记录存放在项目部档案柜，电子记录上传至智慧工地平台云端；</w:t>
            </w:r>
          </w:p>
          <w:p w14:paraId="1B3D33E4">
            <w:pPr>
              <w:keepNext w:val="0"/>
              <w:keepLines w:val="0"/>
              <w:widowControl/>
              <w:suppressLineNumbers w:val="0"/>
              <w:snapToGrid w:val="0"/>
              <w:spacing w:before="0" w:beforeAutospacing="0" w:after="0" w:afterAutospacing="0" w:line="420" w:lineRule="atLeast"/>
              <w:ind w:left="0" w:leftChars="0" w:right="0" w:rightChars="0" w:firstLine="0" w:firstLineChars="0"/>
              <w:jc w:val="left"/>
              <w:rPr>
                <w:rFonts w:hint="default" w:ascii="Times New Roman" w:hAnsi="Times New Roman" w:eastAsia="Segoe UI" w:cs="Times New Roman"/>
                <w:b w:val="0"/>
                <w:i w:val="0"/>
                <w:iCs w:val="0"/>
                <w:caps w:val="0"/>
                <w:color w:val="000000"/>
                <w:spacing w:val="0"/>
                <w:sz w:val="24"/>
                <w:szCs w:val="24"/>
                <w:highlight w:val="none"/>
              </w:rPr>
            </w:pPr>
            <w:r>
              <w:rPr>
                <w:rFonts w:hint="default" w:ascii="Times New Roman" w:hAnsi="Times New Roman" w:eastAsia="Segoe UI" w:cs="Times New Roman"/>
                <w:b w:val="0"/>
                <w:i w:val="0"/>
                <w:iCs w:val="0"/>
                <w:caps w:val="0"/>
                <w:color w:val="000000"/>
                <w:spacing w:val="0"/>
                <w:sz w:val="24"/>
                <w:szCs w:val="24"/>
                <w:highlight w:val="none"/>
              </w:rPr>
              <w:t>2.保存期限设定为“项目竣工后6年”，超规范要求的5年，确保可追溯。</w:t>
            </w:r>
          </w:p>
        </w:tc>
      </w:tr>
    </w:tbl>
    <w:p w14:paraId="5800F48E">
      <w:pPr>
        <w:rPr>
          <w:rFonts w:hint="default" w:ascii="Times New Roman" w:hAnsi="Times New Roman" w:eastAsia="宋体" w:cs="Times New Roman"/>
          <w:b/>
          <w:color w:val="auto"/>
          <w:spacing w:val="23"/>
          <w:sz w:val="28"/>
          <w:szCs w:val="28"/>
          <w:highlight w:val="none"/>
          <w:lang w:bidi="en-US"/>
        </w:rPr>
      </w:pPr>
      <w:r>
        <w:rPr>
          <w:rFonts w:hint="default" w:ascii="Times New Roman" w:hAnsi="Times New Roman" w:eastAsia="宋体" w:cs="Times New Roman"/>
          <w:b/>
          <w:color w:val="auto"/>
          <w:spacing w:val="23"/>
          <w:sz w:val="28"/>
          <w:szCs w:val="28"/>
          <w:highlight w:val="none"/>
          <w:lang w:bidi="en-US"/>
        </w:rPr>
        <w:br w:type="page"/>
      </w:r>
    </w:p>
    <w:p w14:paraId="6747770D">
      <w:pPr>
        <w:jc w:val="center"/>
        <w:rPr>
          <w:rFonts w:hint="default" w:ascii="Times New Roman" w:hAnsi="Times New Roman" w:eastAsia="宋体" w:cs="Times New Roman"/>
          <w:color w:val="auto"/>
          <w:highlight w:val="none"/>
        </w:rPr>
        <w:sectPr>
          <w:headerReference r:id="rId7" w:type="default"/>
          <w:pgSz w:w="16838" w:h="11906" w:orient="landscape"/>
          <w:pgMar w:top="1800" w:right="1440" w:bottom="1800" w:left="1440" w:header="851" w:footer="992" w:gutter="0"/>
          <w:pgNumType w:fmt="decimal"/>
          <w:cols w:space="425" w:num="1"/>
          <w:docGrid w:type="lines" w:linePitch="312" w:charSpace="0"/>
        </w:sectPr>
      </w:pPr>
    </w:p>
    <w:p w14:paraId="5E733D60">
      <w:pPr>
        <w:keepNext w:val="0"/>
        <w:keepLines w:val="0"/>
        <w:pageBreakBefore w:val="0"/>
        <w:widowControl w:val="0"/>
        <w:tabs>
          <w:tab w:val="left" w:pos="3943"/>
        </w:tabs>
        <w:kinsoku/>
        <w:wordWrap/>
        <w:overflowPunct/>
        <w:topLinePunct w:val="0"/>
        <w:autoSpaceDE/>
        <w:autoSpaceDN/>
        <w:bidi w:val="0"/>
        <w:adjustRightInd/>
        <w:snapToGrid/>
        <w:spacing w:before="146" w:beforeLines="50" w:after="146" w:afterLines="50" w:line="360" w:lineRule="auto"/>
        <w:jc w:val="left"/>
        <w:textAlignment w:val="auto"/>
        <w:rPr>
          <w:rFonts w:hint="default" w:ascii="Times New Roman" w:hAnsi="Times New Roman" w:eastAsia="黑体" w:cs="Times New Roman"/>
          <w:b w:val="0"/>
          <w:bCs w:val="0"/>
          <w:kern w:val="2"/>
          <w:sz w:val="28"/>
          <w:szCs w:val="32"/>
          <w:highlight w:val="none"/>
          <w:lang w:val="en-US" w:eastAsia="zh-CN" w:bidi="ar-SA"/>
        </w:rPr>
      </w:pPr>
      <w:r>
        <w:rPr>
          <w:rFonts w:hint="eastAsia" w:ascii="Times New Roman" w:hAnsi="Times New Roman" w:eastAsia="黑体" w:cs="Times New Roman"/>
          <w:b w:val="0"/>
          <w:bCs w:val="0"/>
          <w:kern w:val="2"/>
          <w:sz w:val="28"/>
          <w:szCs w:val="32"/>
          <w:highlight w:val="none"/>
          <w:lang w:val="en-US" w:eastAsia="zh-CN" w:bidi="ar-SA"/>
        </w:rPr>
        <w:t>五</w:t>
      </w:r>
      <w:r>
        <w:rPr>
          <w:rFonts w:hint="default" w:ascii="Times New Roman" w:hAnsi="Times New Roman" w:eastAsia="黑体" w:cs="Times New Roman"/>
          <w:b w:val="0"/>
          <w:bCs w:val="0"/>
          <w:kern w:val="2"/>
          <w:sz w:val="28"/>
          <w:szCs w:val="32"/>
          <w:highlight w:val="none"/>
          <w:lang w:val="en-US" w:eastAsia="zh-CN" w:bidi="ar-SA"/>
        </w:rPr>
        <w:t>、评估结论</w:t>
      </w:r>
    </w:p>
    <w:p w14:paraId="0CA11850">
      <w:pPr>
        <w:keepNext w:val="0"/>
        <w:keepLines w:val="0"/>
        <w:pageBreakBefore w:val="0"/>
        <w:widowControl w:val="0"/>
        <w:tabs>
          <w:tab w:val="left" w:pos="3943"/>
        </w:tabs>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eastAsia="宋体" w:cs="Times New Roman"/>
          <w:b w:val="0"/>
          <w:bCs w:val="0"/>
          <w:kern w:val="2"/>
          <w:sz w:val="24"/>
          <w:szCs w:val="28"/>
          <w:highlight w:val="none"/>
          <w:lang w:val="en-US" w:eastAsia="zh-CN" w:bidi="ar-SA"/>
        </w:rPr>
      </w:pPr>
      <w:r>
        <w:rPr>
          <w:rFonts w:hint="default" w:ascii="Times New Roman" w:hAnsi="Times New Roman" w:eastAsia="宋体" w:cs="Times New Roman"/>
          <w:b w:val="0"/>
          <w:bCs w:val="0"/>
          <w:kern w:val="2"/>
          <w:sz w:val="24"/>
          <w:szCs w:val="28"/>
          <w:highlight w:val="none"/>
          <w:lang w:val="en-US" w:eastAsia="zh-CN" w:bidi="ar-SA"/>
        </w:rPr>
        <w:t>本次评估以常州市建筑科学研究院检验检测总部建设项目为实践载体，全面验证《建筑碳排放计量器具的配备与管理施工阶段》规范核心条款（第4-7章）的落地可行性，结合项目实测数据、管理记录及智慧平台应用情况，形成以下总结结论：</w:t>
      </w:r>
    </w:p>
    <w:p w14:paraId="7318E881">
      <w:pPr>
        <w:keepNext w:val="0"/>
        <w:keepLines w:val="0"/>
        <w:pageBreakBefore w:val="0"/>
        <w:widowControl w:val="0"/>
        <w:tabs>
          <w:tab w:val="left" w:pos="3943"/>
        </w:tabs>
        <w:kinsoku/>
        <w:wordWrap/>
        <w:overflowPunct/>
        <w:topLinePunct w:val="0"/>
        <w:autoSpaceDE/>
        <w:autoSpaceDN/>
        <w:bidi w:val="0"/>
        <w:adjustRightInd/>
        <w:snapToGrid/>
        <w:spacing w:line="360" w:lineRule="auto"/>
        <w:jc w:val="left"/>
        <w:textAlignment w:val="auto"/>
        <w:rPr>
          <w:rFonts w:hint="default" w:ascii="Times New Roman" w:hAnsi="Times New Roman" w:eastAsia="宋体" w:cs="Times New Roman"/>
          <w:b/>
          <w:bCs/>
          <w:kern w:val="2"/>
          <w:sz w:val="24"/>
          <w:szCs w:val="28"/>
          <w:highlight w:val="none"/>
          <w:lang w:val="en-US" w:eastAsia="zh-CN" w:bidi="ar-SA"/>
        </w:rPr>
      </w:pPr>
      <w:r>
        <w:rPr>
          <w:rFonts w:hint="default" w:ascii="Times New Roman" w:hAnsi="Times New Roman" w:eastAsia="宋体" w:cs="Times New Roman"/>
          <w:b/>
          <w:bCs/>
          <w:kern w:val="2"/>
          <w:sz w:val="24"/>
          <w:szCs w:val="28"/>
          <w:highlight w:val="none"/>
          <w:lang w:val="en-US" w:eastAsia="zh-CN" w:bidi="ar-SA"/>
        </w:rPr>
        <w:t>（1）规范核心条款具备全面可操作性，与施工场景高度适配</w:t>
      </w:r>
    </w:p>
    <w:p w14:paraId="5277242B">
      <w:pPr>
        <w:keepNext w:val="0"/>
        <w:keepLines w:val="0"/>
        <w:pageBreakBefore w:val="0"/>
        <w:widowControl w:val="0"/>
        <w:tabs>
          <w:tab w:val="left" w:pos="3943"/>
        </w:tabs>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eastAsia="宋体" w:cs="Times New Roman"/>
          <w:b w:val="0"/>
          <w:bCs w:val="0"/>
          <w:kern w:val="2"/>
          <w:sz w:val="24"/>
          <w:szCs w:val="28"/>
          <w:highlight w:val="none"/>
          <w:lang w:val="en-US" w:eastAsia="zh-CN" w:bidi="ar-SA"/>
        </w:rPr>
      </w:pPr>
      <w:r>
        <w:rPr>
          <w:rFonts w:hint="default" w:ascii="Times New Roman" w:hAnsi="Times New Roman" w:eastAsia="宋体" w:cs="Times New Roman"/>
          <w:b w:val="0"/>
          <w:bCs w:val="0"/>
          <w:kern w:val="2"/>
          <w:sz w:val="24"/>
          <w:szCs w:val="28"/>
          <w:highlight w:val="none"/>
          <w:lang w:val="en-US" w:eastAsia="zh-CN" w:bidi="ar-SA"/>
        </w:rPr>
        <w:t>从项目执行效果来看，规范90%以上的核心条款可直接落地，无技术或流程性障碍，具体体现在四大关键模块。</w:t>
      </w:r>
    </w:p>
    <w:p w14:paraId="4054B843">
      <w:pPr>
        <w:keepNext w:val="0"/>
        <w:keepLines w:val="0"/>
        <w:pageBreakBefore w:val="0"/>
        <w:widowControl w:val="0"/>
        <w:tabs>
          <w:tab w:val="left" w:pos="3943"/>
        </w:tabs>
        <w:kinsoku/>
        <w:wordWrap/>
        <w:overflowPunct/>
        <w:topLinePunct w:val="0"/>
        <w:autoSpaceDE/>
        <w:autoSpaceDN/>
        <w:bidi w:val="0"/>
        <w:adjustRightInd/>
        <w:snapToGrid/>
        <w:spacing w:line="360" w:lineRule="auto"/>
        <w:ind w:firstLine="482" w:firstLineChars="200"/>
        <w:jc w:val="left"/>
        <w:textAlignment w:val="auto"/>
        <w:rPr>
          <w:rFonts w:hint="default" w:ascii="Times New Roman" w:hAnsi="Times New Roman" w:eastAsia="宋体" w:cs="Times New Roman"/>
          <w:b w:val="0"/>
          <w:bCs w:val="0"/>
          <w:kern w:val="2"/>
          <w:sz w:val="24"/>
          <w:szCs w:val="28"/>
          <w:highlight w:val="none"/>
          <w:lang w:val="en-US" w:eastAsia="zh-CN" w:bidi="ar-SA"/>
        </w:rPr>
      </w:pPr>
      <w:r>
        <w:rPr>
          <w:rFonts w:hint="default" w:ascii="Times New Roman" w:hAnsi="Times New Roman" w:eastAsia="宋体" w:cs="Times New Roman"/>
          <w:b/>
          <w:bCs/>
          <w:kern w:val="2"/>
          <w:sz w:val="24"/>
          <w:szCs w:val="28"/>
          <w:highlight w:val="none"/>
          <w:lang w:val="en-US" w:eastAsia="zh-CN" w:bidi="ar-SA"/>
        </w:rPr>
        <w:t>计量边界与范围（第4章）：</w:t>
      </w:r>
      <w:r>
        <w:rPr>
          <w:rFonts w:hint="default" w:ascii="Times New Roman" w:hAnsi="Times New Roman" w:eastAsia="宋体" w:cs="Times New Roman"/>
          <w:b w:val="0"/>
          <w:bCs w:val="0"/>
          <w:kern w:val="2"/>
          <w:sz w:val="24"/>
          <w:szCs w:val="28"/>
          <w:highlight w:val="none"/>
          <w:lang w:val="en-US" w:eastAsia="zh-CN" w:bidi="ar-SA"/>
        </w:rPr>
        <w:t>项目严格遵循“施工现场及运输”的物理边界定义，覆盖化石燃料燃烧（柴油、天然气）、电力消耗、过程排放（现场搅拌砂浆）等全源流，且优先采用“智能电表+涡轮流量计”实测（占比95%以上），完全符合4.1、4.2条款要求，无边界模糊或遗漏场景。</w:t>
      </w:r>
    </w:p>
    <w:p w14:paraId="74DD0510">
      <w:pPr>
        <w:keepNext w:val="0"/>
        <w:keepLines w:val="0"/>
        <w:pageBreakBefore w:val="0"/>
        <w:widowControl w:val="0"/>
        <w:tabs>
          <w:tab w:val="left" w:pos="3943"/>
        </w:tabs>
        <w:kinsoku/>
        <w:wordWrap/>
        <w:overflowPunct/>
        <w:topLinePunct w:val="0"/>
        <w:autoSpaceDE/>
        <w:autoSpaceDN/>
        <w:bidi w:val="0"/>
        <w:adjustRightInd/>
        <w:snapToGrid/>
        <w:spacing w:line="360" w:lineRule="auto"/>
        <w:ind w:firstLine="482" w:firstLineChars="200"/>
        <w:jc w:val="left"/>
        <w:textAlignment w:val="auto"/>
        <w:rPr>
          <w:rFonts w:hint="default" w:ascii="Times New Roman" w:hAnsi="Times New Roman" w:eastAsia="宋体" w:cs="Times New Roman"/>
          <w:b w:val="0"/>
          <w:bCs w:val="0"/>
          <w:kern w:val="2"/>
          <w:sz w:val="24"/>
          <w:szCs w:val="28"/>
          <w:highlight w:val="none"/>
          <w:lang w:val="en-US" w:eastAsia="zh-CN" w:bidi="ar-SA"/>
        </w:rPr>
      </w:pPr>
      <w:r>
        <w:rPr>
          <w:rFonts w:hint="default" w:ascii="Times New Roman" w:hAnsi="Times New Roman" w:eastAsia="宋体" w:cs="Times New Roman"/>
          <w:b/>
          <w:bCs/>
          <w:kern w:val="2"/>
          <w:sz w:val="24"/>
          <w:szCs w:val="28"/>
          <w:highlight w:val="none"/>
          <w:lang w:val="en-US" w:eastAsia="zh-CN" w:bidi="ar-SA"/>
        </w:rPr>
        <w:t>计量器具配备（第5章）：</w:t>
      </w:r>
      <w:r>
        <w:rPr>
          <w:rFonts w:hint="default" w:ascii="Times New Roman" w:hAnsi="Times New Roman" w:eastAsia="宋体" w:cs="Times New Roman"/>
          <w:b w:val="0"/>
          <w:bCs w:val="0"/>
          <w:kern w:val="2"/>
          <w:sz w:val="24"/>
          <w:szCs w:val="28"/>
          <w:highlight w:val="none"/>
          <w:lang w:val="en-US" w:eastAsia="zh-CN" w:bidi="ar-SA"/>
        </w:rPr>
        <w:t>项目按“分类+分区+重点设备”原则配备器具，电力（13块电表）、柴油（2台涡轮流量计）、水资源（3块智能水表）配备率均达100%，超附录B“重点能源≥95%”的要求；器具选型符合IP65防护等级（适配施工扬尘、雨水环境），智能化器具（支持远程传输）占比100%，满足5.1.4“宜配备智能器具”的推荐要求，且重点设备（塔吊、挖掘机等）单独计量覆盖率100%，完全匹配附录C清单。</w:t>
      </w:r>
    </w:p>
    <w:p w14:paraId="6FA7BA3C">
      <w:pPr>
        <w:keepNext w:val="0"/>
        <w:keepLines w:val="0"/>
        <w:pageBreakBefore w:val="0"/>
        <w:widowControl w:val="0"/>
        <w:tabs>
          <w:tab w:val="left" w:pos="3943"/>
        </w:tabs>
        <w:kinsoku/>
        <w:wordWrap/>
        <w:overflowPunct/>
        <w:topLinePunct w:val="0"/>
        <w:autoSpaceDE/>
        <w:autoSpaceDN/>
        <w:bidi w:val="0"/>
        <w:adjustRightInd/>
        <w:snapToGrid/>
        <w:spacing w:line="360" w:lineRule="auto"/>
        <w:ind w:firstLine="482" w:firstLineChars="200"/>
        <w:jc w:val="left"/>
        <w:textAlignment w:val="auto"/>
        <w:rPr>
          <w:rFonts w:hint="default" w:ascii="Times New Roman" w:hAnsi="Times New Roman" w:eastAsia="宋体" w:cs="Times New Roman"/>
          <w:b w:val="0"/>
          <w:bCs w:val="0"/>
          <w:kern w:val="2"/>
          <w:sz w:val="24"/>
          <w:szCs w:val="28"/>
          <w:highlight w:val="none"/>
          <w:lang w:val="en-US" w:eastAsia="zh-CN" w:bidi="ar-SA"/>
        </w:rPr>
      </w:pPr>
      <w:r>
        <w:rPr>
          <w:rFonts w:hint="default" w:ascii="Times New Roman" w:hAnsi="Times New Roman" w:eastAsia="宋体" w:cs="Times New Roman"/>
          <w:b/>
          <w:bCs/>
          <w:kern w:val="2"/>
          <w:sz w:val="24"/>
          <w:szCs w:val="28"/>
          <w:highlight w:val="none"/>
          <w:lang w:val="en-US" w:eastAsia="zh-CN" w:bidi="ar-SA"/>
        </w:rPr>
        <w:t>计量器具管理（第6章）：</w:t>
      </w:r>
      <w:r>
        <w:rPr>
          <w:rFonts w:hint="default" w:ascii="Times New Roman" w:hAnsi="Times New Roman" w:eastAsia="宋体" w:cs="Times New Roman"/>
          <w:b w:val="0"/>
          <w:bCs w:val="0"/>
          <w:kern w:val="2"/>
          <w:sz w:val="24"/>
          <w:szCs w:val="28"/>
          <w:highlight w:val="none"/>
          <w:lang w:val="en-US" w:eastAsia="zh-CN" w:bidi="ar-SA"/>
        </w:rPr>
        <w:t>项目建立完整的“制度-人员-器具”管理体系，制定《碳计量管理制度》并通过GB/T 19022体系审核，12名计量人员均经过培训后上岗，器具检定（电能表年检、流量计半年检）、维护（每月清洁、季度密封性检查）、报废（档案保存超5年）全流程合规，2024年两次器具异常（超期电表、流量计偏差）均按6.3.5、6.3.8条款24小时内处理，无违规使用情况。</w:t>
      </w:r>
    </w:p>
    <w:p w14:paraId="4EB003F1">
      <w:pPr>
        <w:keepNext w:val="0"/>
        <w:keepLines w:val="0"/>
        <w:pageBreakBefore w:val="0"/>
        <w:widowControl w:val="0"/>
        <w:tabs>
          <w:tab w:val="left" w:pos="3943"/>
        </w:tabs>
        <w:kinsoku/>
        <w:wordWrap/>
        <w:overflowPunct/>
        <w:topLinePunct w:val="0"/>
        <w:autoSpaceDE/>
        <w:autoSpaceDN/>
        <w:bidi w:val="0"/>
        <w:adjustRightInd/>
        <w:snapToGrid/>
        <w:spacing w:line="360" w:lineRule="auto"/>
        <w:ind w:firstLine="482" w:firstLineChars="200"/>
        <w:jc w:val="left"/>
        <w:textAlignment w:val="auto"/>
        <w:rPr>
          <w:rFonts w:hint="default" w:ascii="Times New Roman" w:hAnsi="Times New Roman" w:eastAsia="宋体" w:cs="Times New Roman"/>
          <w:b w:val="0"/>
          <w:bCs w:val="0"/>
          <w:kern w:val="2"/>
          <w:sz w:val="24"/>
          <w:szCs w:val="28"/>
          <w:highlight w:val="none"/>
          <w:lang w:val="en-US" w:eastAsia="zh-CN" w:bidi="ar-SA"/>
        </w:rPr>
      </w:pPr>
      <w:r>
        <w:rPr>
          <w:rFonts w:hint="default" w:ascii="Times New Roman" w:hAnsi="Times New Roman" w:eastAsia="宋体" w:cs="Times New Roman"/>
          <w:b/>
          <w:bCs/>
          <w:kern w:val="2"/>
          <w:sz w:val="24"/>
          <w:szCs w:val="28"/>
          <w:highlight w:val="none"/>
          <w:lang w:val="en-US" w:eastAsia="zh-CN" w:bidi="ar-SA"/>
        </w:rPr>
        <w:t>数据管理（第7章）：</w:t>
      </w:r>
      <w:r>
        <w:rPr>
          <w:rFonts w:hint="default" w:ascii="Times New Roman" w:hAnsi="Times New Roman" w:eastAsia="宋体" w:cs="Times New Roman"/>
          <w:b w:val="0"/>
          <w:bCs w:val="0"/>
          <w:kern w:val="2"/>
          <w:sz w:val="24"/>
          <w:szCs w:val="28"/>
          <w:highlight w:val="none"/>
          <w:lang w:val="en-US" w:eastAsia="zh-CN" w:bidi="ar-SA"/>
        </w:rPr>
        <w:t>项目数据管理全链条符合规范要求，规范设计分类抄表记录（统一字段格式、保留2位小数），月度汇总效率提升75%；智慧工地平台实现数据实时采集（15分钟/次）、云端备份（每日自动归档），原始记录（抄表单、发票、检定证书）以“纸质+电子”双备份保存（计划6年），超7.6“≥5年”的要求，且数据与柴油发票（如2023年4月No.13691488）、电力公司结算单交叉核对，偏差≤3%，无伪造或篡改情况。</w:t>
      </w:r>
    </w:p>
    <w:p w14:paraId="3ED95B3B">
      <w:pPr>
        <w:keepNext w:val="0"/>
        <w:keepLines w:val="0"/>
        <w:pageBreakBefore w:val="0"/>
        <w:widowControl w:val="0"/>
        <w:tabs>
          <w:tab w:val="left" w:pos="3943"/>
        </w:tabs>
        <w:kinsoku/>
        <w:wordWrap/>
        <w:overflowPunct/>
        <w:topLinePunct w:val="0"/>
        <w:autoSpaceDE/>
        <w:autoSpaceDN/>
        <w:bidi w:val="0"/>
        <w:adjustRightInd/>
        <w:snapToGrid/>
        <w:spacing w:line="360" w:lineRule="auto"/>
        <w:jc w:val="left"/>
        <w:textAlignment w:val="auto"/>
        <w:rPr>
          <w:rFonts w:hint="default" w:ascii="Times New Roman" w:hAnsi="Times New Roman" w:eastAsia="宋体" w:cs="Times New Roman"/>
          <w:b w:val="0"/>
          <w:bCs w:val="0"/>
          <w:kern w:val="2"/>
          <w:sz w:val="24"/>
          <w:szCs w:val="28"/>
          <w:highlight w:val="none"/>
          <w:lang w:val="en-US" w:eastAsia="zh-CN" w:bidi="ar-SA"/>
        </w:rPr>
      </w:pPr>
      <w:r>
        <w:rPr>
          <w:rFonts w:hint="default" w:ascii="Times New Roman" w:hAnsi="Times New Roman" w:eastAsia="宋体" w:cs="Times New Roman"/>
          <w:b/>
          <w:bCs/>
          <w:kern w:val="2"/>
          <w:sz w:val="24"/>
          <w:szCs w:val="28"/>
          <w:highlight w:val="none"/>
          <w:lang w:val="en-US" w:eastAsia="zh-CN" w:bidi="ar-SA"/>
        </w:rPr>
        <w:t>（2）规范执行产生显著实践价值，兼具减排与示范意义</w:t>
      </w:r>
    </w:p>
    <w:p w14:paraId="7751B522">
      <w:pPr>
        <w:keepNext w:val="0"/>
        <w:keepLines w:val="0"/>
        <w:pageBreakBefore w:val="0"/>
        <w:widowControl w:val="0"/>
        <w:tabs>
          <w:tab w:val="left" w:pos="3943"/>
        </w:tabs>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eastAsia="宋体" w:cs="Times New Roman"/>
          <w:b w:val="0"/>
          <w:bCs w:val="0"/>
          <w:kern w:val="2"/>
          <w:sz w:val="24"/>
          <w:szCs w:val="28"/>
          <w:highlight w:val="none"/>
          <w:lang w:val="en-US" w:eastAsia="zh-CN" w:bidi="ar-SA"/>
        </w:rPr>
      </w:pPr>
      <w:r>
        <w:rPr>
          <w:rFonts w:hint="default" w:ascii="Times New Roman" w:hAnsi="Times New Roman" w:eastAsia="宋体" w:cs="Times New Roman"/>
          <w:b w:val="0"/>
          <w:bCs w:val="0"/>
          <w:kern w:val="2"/>
          <w:sz w:val="24"/>
          <w:szCs w:val="28"/>
          <w:highlight w:val="none"/>
          <w:lang w:val="en-US" w:eastAsia="zh-CN" w:bidi="ar-SA"/>
        </w:rPr>
        <w:t>项目通过落实规范要求，不仅保障碳排放数据准确性，更直接支撑施工阶段低碳管理目标，体现规范的实用价值。</w:t>
      </w:r>
    </w:p>
    <w:p w14:paraId="2E05F3A3">
      <w:pPr>
        <w:keepNext w:val="0"/>
        <w:keepLines w:val="0"/>
        <w:pageBreakBefore w:val="0"/>
        <w:widowControl w:val="0"/>
        <w:tabs>
          <w:tab w:val="left" w:pos="3943"/>
        </w:tabs>
        <w:kinsoku/>
        <w:wordWrap/>
        <w:overflowPunct/>
        <w:topLinePunct w:val="0"/>
        <w:autoSpaceDE/>
        <w:autoSpaceDN/>
        <w:bidi w:val="0"/>
        <w:adjustRightInd/>
        <w:snapToGrid/>
        <w:spacing w:line="360" w:lineRule="auto"/>
        <w:ind w:firstLine="482" w:firstLineChars="200"/>
        <w:jc w:val="left"/>
        <w:textAlignment w:val="auto"/>
        <w:rPr>
          <w:rFonts w:hint="default" w:ascii="Times New Roman" w:hAnsi="Times New Roman" w:eastAsia="宋体" w:cs="Times New Roman"/>
          <w:b w:val="0"/>
          <w:bCs w:val="0"/>
          <w:kern w:val="2"/>
          <w:sz w:val="24"/>
          <w:szCs w:val="28"/>
          <w:highlight w:val="none"/>
          <w:lang w:val="en-US" w:eastAsia="zh-CN" w:bidi="ar-SA"/>
        </w:rPr>
      </w:pPr>
      <w:r>
        <w:rPr>
          <w:rFonts w:hint="default" w:ascii="Times New Roman" w:hAnsi="Times New Roman" w:eastAsia="宋体" w:cs="Times New Roman"/>
          <w:b/>
          <w:bCs/>
          <w:kern w:val="2"/>
          <w:sz w:val="24"/>
          <w:szCs w:val="28"/>
          <w:highlight w:val="none"/>
          <w:lang w:val="en-US" w:eastAsia="zh-CN" w:bidi="ar-SA"/>
        </w:rPr>
        <w:t>数据价值：</w:t>
      </w:r>
      <w:r>
        <w:rPr>
          <w:rFonts w:hint="default" w:ascii="Times New Roman" w:hAnsi="Times New Roman" w:eastAsia="宋体" w:cs="Times New Roman"/>
          <w:b w:val="0"/>
          <w:bCs w:val="0"/>
          <w:kern w:val="2"/>
          <w:sz w:val="24"/>
          <w:szCs w:val="28"/>
          <w:highlight w:val="none"/>
          <w:lang w:val="en-US" w:eastAsia="zh-CN" w:bidi="ar-SA"/>
        </w:rPr>
        <w:t>规范执行后，项目碳排放数据误差从行业平均15%-20%降至8%以内，其中塔吊用电量、挖掘机柴油消耗量实测值与PKPM软件模拟值偏差≤3%，为“近零碳建筑”（设计降碳率48.44%）目标达成提供可靠数据支撑，2024年成功获“超低能耗建筑”认证。</w:t>
      </w:r>
    </w:p>
    <w:p w14:paraId="53FAFC28">
      <w:pPr>
        <w:keepNext w:val="0"/>
        <w:keepLines w:val="0"/>
        <w:pageBreakBefore w:val="0"/>
        <w:widowControl w:val="0"/>
        <w:tabs>
          <w:tab w:val="left" w:pos="3943"/>
        </w:tabs>
        <w:kinsoku/>
        <w:wordWrap/>
        <w:overflowPunct/>
        <w:topLinePunct w:val="0"/>
        <w:autoSpaceDE/>
        <w:autoSpaceDN/>
        <w:bidi w:val="0"/>
        <w:adjustRightInd/>
        <w:snapToGrid/>
        <w:spacing w:line="360" w:lineRule="auto"/>
        <w:ind w:firstLine="482" w:firstLineChars="200"/>
        <w:jc w:val="left"/>
        <w:textAlignment w:val="auto"/>
        <w:rPr>
          <w:rFonts w:hint="default" w:ascii="Times New Roman" w:hAnsi="Times New Roman" w:eastAsia="宋体" w:cs="Times New Roman"/>
          <w:b w:val="0"/>
          <w:bCs w:val="0"/>
          <w:kern w:val="2"/>
          <w:sz w:val="24"/>
          <w:szCs w:val="28"/>
          <w:highlight w:val="none"/>
          <w:lang w:val="en-US" w:eastAsia="zh-CN" w:bidi="ar-SA"/>
        </w:rPr>
      </w:pPr>
      <w:r>
        <w:rPr>
          <w:rFonts w:hint="default" w:ascii="Times New Roman" w:hAnsi="Times New Roman" w:eastAsia="宋体" w:cs="Times New Roman"/>
          <w:b/>
          <w:bCs/>
          <w:kern w:val="2"/>
          <w:sz w:val="24"/>
          <w:szCs w:val="28"/>
          <w:highlight w:val="none"/>
          <w:lang w:val="en-US" w:eastAsia="zh-CN" w:bidi="ar-SA"/>
        </w:rPr>
        <w:t>管理价值：</w:t>
      </w:r>
      <w:r>
        <w:rPr>
          <w:rFonts w:hint="default" w:ascii="Times New Roman" w:hAnsi="Times New Roman" w:eastAsia="宋体" w:cs="Times New Roman"/>
          <w:b w:val="0"/>
          <w:bCs w:val="0"/>
          <w:kern w:val="2"/>
          <w:sz w:val="24"/>
          <w:szCs w:val="28"/>
          <w:highlight w:val="none"/>
          <w:lang w:val="en-US" w:eastAsia="zh-CN" w:bidi="ar-SA"/>
        </w:rPr>
        <w:t>标准化的器具管理与数据流程（如每日抄表、月度报表）减少计量人员工作量30%，智慧平台的应用实现“能耗异常实时预警”（如2024年7月办公区用电偏高，及时追溯至空调未调温），间接推动施工阶段能源浪费减少8%-10%。</w:t>
      </w:r>
    </w:p>
    <w:p w14:paraId="4A15B3C9">
      <w:pPr>
        <w:keepNext w:val="0"/>
        <w:keepLines w:val="0"/>
        <w:pageBreakBefore w:val="0"/>
        <w:widowControl w:val="0"/>
        <w:tabs>
          <w:tab w:val="left" w:pos="3943"/>
        </w:tabs>
        <w:kinsoku/>
        <w:wordWrap/>
        <w:overflowPunct/>
        <w:topLinePunct w:val="0"/>
        <w:autoSpaceDE/>
        <w:autoSpaceDN/>
        <w:bidi w:val="0"/>
        <w:adjustRightInd/>
        <w:snapToGrid/>
        <w:spacing w:line="360" w:lineRule="auto"/>
        <w:ind w:firstLine="482" w:firstLineChars="200"/>
        <w:jc w:val="left"/>
        <w:textAlignment w:val="auto"/>
        <w:rPr>
          <w:rFonts w:hint="default" w:ascii="Times New Roman" w:hAnsi="Times New Roman" w:eastAsia="宋体" w:cs="Times New Roman"/>
          <w:b w:val="0"/>
          <w:bCs w:val="0"/>
          <w:kern w:val="2"/>
          <w:sz w:val="24"/>
          <w:szCs w:val="28"/>
          <w:highlight w:val="none"/>
          <w:lang w:val="en-US" w:eastAsia="zh-CN" w:bidi="ar-SA"/>
        </w:rPr>
      </w:pPr>
      <w:r>
        <w:rPr>
          <w:rFonts w:hint="default" w:ascii="Times New Roman" w:hAnsi="Times New Roman" w:eastAsia="宋体" w:cs="Times New Roman"/>
          <w:b/>
          <w:bCs/>
          <w:kern w:val="2"/>
          <w:sz w:val="24"/>
          <w:szCs w:val="28"/>
          <w:highlight w:val="none"/>
          <w:lang w:val="en-US" w:eastAsia="zh-CN" w:bidi="ar-SA"/>
        </w:rPr>
        <w:t>示范价值：</w:t>
      </w:r>
      <w:r>
        <w:rPr>
          <w:rFonts w:hint="default" w:ascii="Times New Roman" w:hAnsi="Times New Roman" w:eastAsia="宋体" w:cs="Times New Roman"/>
          <w:b w:val="0"/>
          <w:bCs w:val="0"/>
          <w:kern w:val="2"/>
          <w:sz w:val="24"/>
          <w:szCs w:val="28"/>
          <w:highlight w:val="none"/>
          <w:lang w:val="en-US" w:eastAsia="zh-CN" w:bidi="ar-SA"/>
        </w:rPr>
        <w:t>作为常州市绿色建造试点项目，其基于规范的“智能计量+平台化管理”模式已被其他房建项目借鉴，尤其在“移动设备（挖掘机）双重计量（流量计+油卡台账）”“分区电表覆盖办公区（超10kW单独计量）”“智慧工地管理平台”等场景，为同类项目提供可复制经验。</w:t>
      </w:r>
    </w:p>
    <w:p w14:paraId="264CE41E">
      <w:pPr>
        <w:keepNext w:val="0"/>
        <w:keepLines w:val="0"/>
        <w:pageBreakBefore w:val="0"/>
        <w:widowControl w:val="0"/>
        <w:tabs>
          <w:tab w:val="left" w:pos="3943"/>
        </w:tabs>
        <w:kinsoku/>
        <w:wordWrap/>
        <w:overflowPunct/>
        <w:topLinePunct w:val="0"/>
        <w:autoSpaceDE/>
        <w:autoSpaceDN/>
        <w:bidi w:val="0"/>
        <w:adjustRightInd/>
        <w:snapToGrid/>
        <w:spacing w:line="360" w:lineRule="auto"/>
        <w:jc w:val="left"/>
        <w:textAlignment w:val="auto"/>
        <w:rPr>
          <w:rFonts w:hint="default" w:ascii="Times New Roman" w:hAnsi="Times New Roman" w:eastAsia="宋体" w:cs="Times New Roman"/>
          <w:b/>
          <w:bCs/>
          <w:kern w:val="2"/>
          <w:sz w:val="24"/>
          <w:szCs w:val="28"/>
          <w:highlight w:val="none"/>
          <w:lang w:val="en-US" w:eastAsia="zh-CN" w:bidi="ar-SA"/>
        </w:rPr>
      </w:pPr>
      <w:r>
        <w:rPr>
          <w:rFonts w:hint="default" w:ascii="Times New Roman" w:hAnsi="Times New Roman" w:eastAsia="宋体" w:cs="Times New Roman"/>
          <w:b/>
          <w:bCs/>
          <w:kern w:val="2"/>
          <w:sz w:val="24"/>
          <w:szCs w:val="28"/>
          <w:highlight w:val="none"/>
          <w:lang w:val="en-US" w:eastAsia="zh-CN" w:bidi="ar-SA"/>
        </w:rPr>
        <w:t>（3）少量条款试点项目执行中不涉及，不影响整体可操作性</w:t>
      </w:r>
    </w:p>
    <w:p w14:paraId="0D2BCE44">
      <w:pPr>
        <w:keepNext w:val="0"/>
        <w:keepLines w:val="0"/>
        <w:pageBreakBefore w:val="0"/>
        <w:widowControl w:val="0"/>
        <w:tabs>
          <w:tab w:val="left" w:pos="3943"/>
        </w:tabs>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eastAsia="宋体" w:cs="Times New Roman"/>
          <w:b w:val="0"/>
          <w:bCs w:val="0"/>
          <w:kern w:val="2"/>
          <w:sz w:val="24"/>
          <w:szCs w:val="28"/>
          <w:highlight w:val="none"/>
          <w:lang w:val="en-US" w:eastAsia="zh-CN" w:bidi="ar-SA"/>
        </w:rPr>
      </w:pPr>
      <w:r>
        <w:rPr>
          <w:rFonts w:hint="default" w:ascii="Times New Roman" w:hAnsi="Times New Roman" w:eastAsia="宋体" w:cs="Times New Roman"/>
          <w:b w:val="0"/>
          <w:bCs w:val="0"/>
          <w:kern w:val="2"/>
          <w:sz w:val="24"/>
          <w:szCs w:val="28"/>
          <w:highlight w:val="none"/>
          <w:lang w:val="en-US" w:eastAsia="zh-CN" w:bidi="ar-SA"/>
        </w:rPr>
        <w:t>6.3.4“自行校准”条款：项目无自校场景，建议补充“自校范围（如非强制检定器具）”“自校流程简化指南”，便于中小项目降低检定成本；</w:t>
      </w:r>
    </w:p>
    <w:p w14:paraId="11A2D037">
      <w:pPr>
        <w:keepNext w:val="0"/>
        <w:keepLines w:val="0"/>
        <w:pageBreakBefore w:val="0"/>
        <w:widowControl w:val="0"/>
        <w:tabs>
          <w:tab w:val="left" w:pos="3943"/>
        </w:tabs>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eastAsia="宋体" w:cs="Times New Roman"/>
          <w:b w:val="0"/>
          <w:bCs w:val="0"/>
          <w:kern w:val="2"/>
          <w:sz w:val="24"/>
          <w:szCs w:val="28"/>
          <w:highlight w:val="none"/>
          <w:lang w:val="en-US" w:eastAsia="zh-CN" w:bidi="ar-SA"/>
        </w:rPr>
      </w:pPr>
      <w:r>
        <w:rPr>
          <w:rFonts w:hint="default" w:ascii="Times New Roman" w:hAnsi="Times New Roman" w:eastAsia="宋体" w:cs="Times New Roman"/>
          <w:b w:val="0"/>
          <w:bCs w:val="0"/>
          <w:kern w:val="2"/>
          <w:sz w:val="24"/>
          <w:szCs w:val="28"/>
          <w:highlight w:val="none"/>
          <w:lang w:val="en-US" w:eastAsia="zh-CN" w:bidi="ar-SA"/>
        </w:rPr>
        <w:t>4.2.f“碳配额核算”条款：项目暂不涉及碳配额，但随着行业碳市场推进，建议补充“碳配额核算所需计量数据清单”，提前预留适配空间。</w:t>
      </w:r>
    </w:p>
    <w:p w14:paraId="6E5B0000">
      <w:pPr>
        <w:keepNext w:val="0"/>
        <w:keepLines w:val="0"/>
        <w:pageBreakBefore w:val="0"/>
        <w:widowControl w:val="0"/>
        <w:tabs>
          <w:tab w:val="left" w:pos="3943"/>
        </w:tabs>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eastAsia="宋体" w:cs="Times New Roman"/>
          <w:b w:val="0"/>
          <w:bCs w:val="0"/>
          <w:kern w:val="2"/>
          <w:sz w:val="24"/>
          <w:szCs w:val="28"/>
          <w:highlight w:val="none"/>
          <w:lang w:val="en-US" w:eastAsia="zh-CN" w:bidi="ar-SA"/>
        </w:rPr>
      </w:pPr>
      <w:r>
        <w:rPr>
          <w:rFonts w:hint="default" w:ascii="Times New Roman" w:hAnsi="Times New Roman" w:eastAsia="宋体" w:cs="Times New Roman"/>
          <w:b w:val="0"/>
          <w:bCs w:val="0"/>
          <w:kern w:val="2"/>
          <w:sz w:val="24"/>
          <w:szCs w:val="28"/>
          <w:highlight w:val="none"/>
          <w:lang w:val="en-US" w:eastAsia="zh-CN" w:bidi="ar-SA"/>
        </w:rPr>
        <w:t>本试点项目执行中虽不涉及，但条款</w:t>
      </w:r>
      <w:r>
        <w:rPr>
          <w:rFonts w:hint="eastAsia" w:ascii="Times New Roman" w:hAnsi="Times New Roman" w:eastAsia="宋体" w:cs="Times New Roman"/>
          <w:b w:val="0"/>
          <w:bCs w:val="0"/>
          <w:kern w:val="2"/>
          <w:sz w:val="24"/>
          <w:szCs w:val="28"/>
          <w:highlight w:val="none"/>
          <w:lang w:val="en-US" w:eastAsia="zh-CN" w:bidi="ar-SA"/>
        </w:rPr>
        <w:t>确</w:t>
      </w:r>
      <w:r>
        <w:rPr>
          <w:rFonts w:hint="default" w:ascii="Times New Roman" w:hAnsi="Times New Roman" w:eastAsia="宋体" w:cs="Times New Roman"/>
          <w:b w:val="0"/>
          <w:bCs w:val="0"/>
          <w:kern w:val="2"/>
          <w:sz w:val="24"/>
          <w:szCs w:val="28"/>
          <w:highlight w:val="none"/>
          <w:lang w:val="en-US" w:eastAsia="zh-CN" w:bidi="ar-SA"/>
        </w:rPr>
        <w:t>有</w:t>
      </w:r>
      <w:r>
        <w:rPr>
          <w:rFonts w:hint="eastAsia" w:ascii="Times New Roman" w:hAnsi="Times New Roman" w:eastAsia="宋体" w:cs="Times New Roman"/>
          <w:b w:val="0"/>
          <w:bCs w:val="0"/>
          <w:kern w:val="2"/>
          <w:sz w:val="24"/>
          <w:szCs w:val="28"/>
          <w:highlight w:val="none"/>
          <w:lang w:val="en-US" w:eastAsia="zh-CN" w:bidi="ar-SA"/>
        </w:rPr>
        <w:t>其</w:t>
      </w:r>
      <w:r>
        <w:rPr>
          <w:rFonts w:hint="default" w:ascii="Times New Roman" w:hAnsi="Times New Roman" w:eastAsia="宋体" w:cs="Times New Roman"/>
          <w:b w:val="0"/>
          <w:bCs w:val="0"/>
          <w:kern w:val="2"/>
          <w:sz w:val="24"/>
          <w:szCs w:val="28"/>
          <w:highlight w:val="none"/>
          <w:lang w:val="en-US" w:eastAsia="zh-CN" w:bidi="ar-SA"/>
        </w:rPr>
        <w:t>存在的必要性，以满足其他项目施工碳计量需求，各建筑施工项目可根据施工工地实际情况开展碳排放计量工作。</w:t>
      </w:r>
    </w:p>
    <w:p w14:paraId="575A7680">
      <w:pPr>
        <w:keepNext w:val="0"/>
        <w:keepLines w:val="0"/>
        <w:pageBreakBefore w:val="0"/>
        <w:widowControl w:val="0"/>
        <w:tabs>
          <w:tab w:val="left" w:pos="3943"/>
        </w:tabs>
        <w:kinsoku/>
        <w:wordWrap/>
        <w:overflowPunct/>
        <w:topLinePunct w:val="0"/>
        <w:autoSpaceDE/>
        <w:autoSpaceDN/>
        <w:bidi w:val="0"/>
        <w:adjustRightInd/>
        <w:snapToGrid/>
        <w:spacing w:line="360" w:lineRule="auto"/>
        <w:jc w:val="left"/>
        <w:textAlignment w:val="auto"/>
        <w:rPr>
          <w:rFonts w:hint="default" w:ascii="Times New Roman" w:hAnsi="Times New Roman" w:eastAsia="宋体" w:cs="Times New Roman"/>
          <w:b/>
          <w:bCs/>
          <w:kern w:val="2"/>
          <w:sz w:val="24"/>
          <w:szCs w:val="28"/>
          <w:highlight w:val="none"/>
          <w:lang w:val="en-US" w:eastAsia="zh-CN" w:bidi="ar-SA"/>
        </w:rPr>
      </w:pPr>
      <w:r>
        <w:rPr>
          <w:rFonts w:hint="default" w:ascii="Times New Roman" w:hAnsi="Times New Roman" w:eastAsia="宋体" w:cs="Times New Roman"/>
          <w:b/>
          <w:bCs/>
          <w:kern w:val="2"/>
          <w:sz w:val="24"/>
          <w:szCs w:val="28"/>
          <w:highlight w:val="none"/>
          <w:lang w:val="en-US" w:eastAsia="zh-CN" w:bidi="ar-SA"/>
        </w:rPr>
        <w:t>（4）总体结论：规范可作为建筑施工碳计量通用标准推广</w:t>
      </w:r>
    </w:p>
    <w:p w14:paraId="6A00172D">
      <w:pPr>
        <w:keepNext w:val="0"/>
        <w:keepLines w:val="0"/>
        <w:pageBreakBefore w:val="0"/>
        <w:widowControl w:val="0"/>
        <w:tabs>
          <w:tab w:val="left" w:pos="3943"/>
        </w:tabs>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eastAsia="宋体" w:cs="Times New Roman"/>
          <w:b w:val="0"/>
          <w:bCs w:val="0"/>
          <w:kern w:val="2"/>
          <w:sz w:val="24"/>
          <w:szCs w:val="28"/>
          <w:highlight w:val="none"/>
          <w:lang w:val="en-US" w:eastAsia="zh-CN" w:bidi="ar-SA"/>
        </w:rPr>
        <w:sectPr>
          <w:pgSz w:w="11906" w:h="16838"/>
          <w:pgMar w:top="1440" w:right="1800" w:bottom="1440" w:left="1800" w:header="851" w:footer="992" w:gutter="0"/>
          <w:pgNumType w:fmt="decimal"/>
          <w:cols w:space="425" w:num="1"/>
          <w:docGrid w:type="lines" w:linePitch="312" w:charSpace="0"/>
        </w:sectPr>
      </w:pPr>
      <w:r>
        <w:rPr>
          <w:rFonts w:hint="default" w:ascii="Times New Roman" w:hAnsi="Times New Roman" w:eastAsia="宋体" w:cs="Times New Roman"/>
          <w:b w:val="0"/>
          <w:bCs w:val="0"/>
          <w:kern w:val="2"/>
          <w:sz w:val="24"/>
          <w:szCs w:val="28"/>
          <w:highlight w:val="none"/>
          <w:lang w:val="en-US" w:eastAsia="zh-CN" w:bidi="ar-SA"/>
        </w:rPr>
        <w:t>综合来看，《建筑碳排放计量器具的配备与管理施工阶段》规范条款设计科学、流程清晰，与大型公共建筑施工场景完全适配，且通过项目实践验证了其在数据准确性、管理效率提升及减排支撑方面的核心价值，作为建筑施工阶段碳计量的通用指导标准，在房建、市政等同类项目中推广应用。</w:t>
      </w:r>
    </w:p>
    <w:p w14:paraId="699A7663">
      <w:pPr>
        <w:keepNext w:val="0"/>
        <w:keepLines w:val="0"/>
        <w:pageBreakBefore w:val="0"/>
        <w:widowControl w:val="0"/>
        <w:shd w:val="clear"/>
        <w:tabs>
          <w:tab w:val="left" w:pos="3943"/>
        </w:tabs>
        <w:kinsoku/>
        <w:wordWrap/>
        <w:overflowPunct/>
        <w:topLinePunct w:val="0"/>
        <w:autoSpaceDE/>
        <w:autoSpaceDN/>
        <w:bidi w:val="0"/>
        <w:adjustRightInd/>
        <w:snapToGrid/>
        <w:spacing w:line="360" w:lineRule="auto"/>
        <w:ind w:firstLine="0" w:firstLineChars="0"/>
        <w:jc w:val="left"/>
        <w:textAlignment w:val="auto"/>
        <w:rPr>
          <w:rFonts w:hint="eastAsia" w:ascii="Times New Roman" w:hAnsi="Times New Roman" w:eastAsia="宋体" w:cs="Times New Roman"/>
          <w:b w:val="0"/>
          <w:bCs w:val="0"/>
          <w:kern w:val="2"/>
          <w:sz w:val="24"/>
          <w:szCs w:val="28"/>
          <w:highlight w:val="none"/>
          <w:lang w:val="en-US" w:eastAsia="zh-CN" w:bidi="ar-SA"/>
        </w:rPr>
      </w:pPr>
      <w:r>
        <w:rPr>
          <w:rFonts w:hint="eastAsia" w:ascii="Times New Roman" w:hAnsi="Times New Roman" w:eastAsia="宋体" w:cs="Times New Roman"/>
          <w:b w:val="0"/>
          <w:bCs w:val="0"/>
          <w:kern w:val="2"/>
          <w:sz w:val="24"/>
          <w:szCs w:val="28"/>
          <w:highlight w:val="none"/>
          <w:lang w:val="en-US" w:eastAsia="zh-CN" w:bidi="ar-SA"/>
        </w:rPr>
        <w:t>附表1</w:t>
      </w:r>
    </w:p>
    <w:p w14:paraId="12F847EC">
      <w:pPr>
        <w:keepNext w:val="0"/>
        <w:keepLines w:val="0"/>
        <w:pageBreakBefore w:val="0"/>
        <w:widowControl w:val="0"/>
        <w:shd w:val="clear"/>
        <w:tabs>
          <w:tab w:val="left" w:pos="3943"/>
        </w:tabs>
        <w:kinsoku/>
        <w:wordWrap/>
        <w:overflowPunct/>
        <w:topLinePunct w:val="0"/>
        <w:autoSpaceDE/>
        <w:autoSpaceDN/>
        <w:bidi w:val="0"/>
        <w:adjustRightInd/>
        <w:snapToGrid/>
        <w:spacing w:line="360" w:lineRule="auto"/>
        <w:ind w:firstLine="0" w:firstLineChars="0"/>
        <w:jc w:val="center"/>
        <w:textAlignment w:val="auto"/>
        <w:rPr>
          <w:rFonts w:hint="eastAsia" w:ascii="Times New Roman" w:hAnsi="Times New Roman" w:eastAsia="宋体" w:cs="Times New Roman"/>
          <w:b w:val="0"/>
          <w:bCs w:val="0"/>
          <w:kern w:val="2"/>
          <w:sz w:val="24"/>
          <w:szCs w:val="28"/>
          <w:highlight w:val="none"/>
          <w:lang w:val="en-US" w:eastAsia="zh-CN" w:bidi="ar-SA"/>
        </w:rPr>
      </w:pPr>
      <w:r>
        <w:rPr>
          <w:rFonts w:hint="eastAsia" w:eastAsia="黑体" w:cs="Times New Roman"/>
          <w:sz w:val="21"/>
          <w:szCs w:val="21"/>
          <w:highlight w:val="none"/>
          <w:lang w:val="en-US" w:eastAsia="zh-CN"/>
        </w:rPr>
        <w:t>碳计量器具一览表</w:t>
      </w:r>
    </w:p>
    <w:p w14:paraId="0E1DE62F">
      <w:pPr>
        <w:shd w:val="clear"/>
        <w:jc w:val="left"/>
        <w:rPr>
          <w:rFonts w:hint="eastAsia" w:asciiTheme="minorEastAsia" w:hAnsiTheme="minorEastAsia" w:eastAsiaTheme="minorEastAsia" w:cstheme="minorEastAsia"/>
          <w:sz w:val="21"/>
          <w:szCs w:val="21"/>
          <w:highlight w:val="none"/>
          <w:lang w:val="en-US" w:eastAsia="zh-CN"/>
        </w:rPr>
      </w:pPr>
      <w:r>
        <w:rPr>
          <w:rFonts w:hint="eastAsia" w:asciiTheme="minorEastAsia" w:hAnsiTheme="minorEastAsia" w:eastAsiaTheme="minorEastAsia" w:cstheme="minorEastAsia"/>
          <w:sz w:val="21"/>
          <w:szCs w:val="21"/>
          <w:highlight w:val="none"/>
          <w:lang w:val="en-US" w:eastAsia="zh-CN"/>
        </w:rPr>
        <w:t>施工单位名称：</w:t>
      </w:r>
      <w:r>
        <w:rPr>
          <w:rFonts w:hint="eastAsia" w:asciiTheme="minorEastAsia" w:hAnsiTheme="minorEastAsia" w:eastAsiaTheme="minorEastAsia" w:cstheme="minorEastAsia"/>
          <w:sz w:val="21"/>
          <w:szCs w:val="21"/>
          <w:highlight w:val="none"/>
          <w:u w:val="single"/>
          <w:lang w:val="en-US" w:eastAsia="zh-CN"/>
        </w:rPr>
        <w:t xml:space="preserve">               </w:t>
      </w:r>
    </w:p>
    <w:tbl>
      <w:tblPr>
        <w:tblStyle w:val="5"/>
        <w:tblW w:w="49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30"/>
        <w:gridCol w:w="576"/>
        <w:gridCol w:w="981"/>
        <w:gridCol w:w="1375"/>
        <w:gridCol w:w="800"/>
        <w:gridCol w:w="816"/>
        <w:gridCol w:w="939"/>
        <w:gridCol w:w="1486"/>
        <w:gridCol w:w="1067"/>
        <w:gridCol w:w="983"/>
        <w:gridCol w:w="1067"/>
        <w:gridCol w:w="752"/>
        <w:gridCol w:w="760"/>
        <w:gridCol w:w="1497"/>
        <w:gridCol w:w="534"/>
      </w:tblGrid>
      <w:tr w14:paraId="3CC3C0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87" w:type="pct"/>
            <w:vAlign w:val="center"/>
          </w:tcPr>
          <w:p w14:paraId="7D9F5077">
            <w:pPr>
              <w:shd w:val="clear"/>
              <w:snapToGrid w:val="0"/>
              <w:spacing w:line="240" w:lineRule="auto"/>
              <w:ind w:left="0" w:leftChars="0" w:right="0" w:rightChars="0" w:firstLine="0" w:firstLineChars="0"/>
              <w:jc w:val="center"/>
              <w:rPr>
                <w:rFonts w:hint="default" w:ascii="Times New Roman" w:hAnsi="Times New Roman" w:eastAsia="宋体" w:cs="Times New Roman"/>
                <w:b w:val="0"/>
                <w:bCs w:val="0"/>
                <w:sz w:val="18"/>
                <w:szCs w:val="18"/>
                <w:highlight w:val="none"/>
                <w:vertAlign w:val="baseline"/>
                <w:lang w:val="en-US" w:eastAsia="zh-CN"/>
              </w:rPr>
            </w:pPr>
            <w:r>
              <w:rPr>
                <w:rFonts w:hint="default" w:eastAsia="宋体" w:cs="Times New Roman"/>
                <w:b w:val="0"/>
                <w:bCs w:val="0"/>
                <w:sz w:val="18"/>
                <w:szCs w:val="18"/>
                <w:highlight w:val="none"/>
                <w:vertAlign w:val="baseline"/>
                <w:lang w:val="en-US" w:eastAsia="zh-CN"/>
              </w:rPr>
              <w:t>序号</w:t>
            </w:r>
          </w:p>
        </w:tc>
        <w:tc>
          <w:tcPr>
            <w:tcW w:w="203" w:type="pct"/>
            <w:vAlign w:val="center"/>
          </w:tcPr>
          <w:p w14:paraId="613EE654">
            <w:pPr>
              <w:shd w:val="clear"/>
              <w:snapToGrid w:val="0"/>
              <w:spacing w:line="240" w:lineRule="auto"/>
              <w:ind w:left="0" w:leftChars="0" w:right="0" w:rightChars="0" w:firstLine="0" w:firstLineChars="0"/>
              <w:jc w:val="center"/>
              <w:rPr>
                <w:rFonts w:hint="default" w:ascii="Times New Roman" w:hAnsi="Times New Roman" w:eastAsia="宋体" w:cs="Times New Roman"/>
                <w:b w:val="0"/>
                <w:bCs w:val="0"/>
                <w:sz w:val="18"/>
                <w:szCs w:val="18"/>
                <w:highlight w:val="none"/>
                <w:vertAlign w:val="baseline"/>
                <w:lang w:val="en-US" w:eastAsia="zh-CN"/>
              </w:rPr>
            </w:pPr>
            <w:r>
              <w:rPr>
                <w:rFonts w:hint="default" w:eastAsia="宋体" w:cs="Times New Roman"/>
                <w:b w:val="0"/>
                <w:bCs w:val="0"/>
                <w:sz w:val="18"/>
                <w:szCs w:val="18"/>
                <w:highlight w:val="none"/>
                <w:vertAlign w:val="baseline"/>
                <w:lang w:val="en-US" w:eastAsia="zh-CN"/>
              </w:rPr>
              <w:t>源流种类</w:t>
            </w:r>
          </w:p>
        </w:tc>
        <w:tc>
          <w:tcPr>
            <w:tcW w:w="346" w:type="pct"/>
            <w:vAlign w:val="center"/>
          </w:tcPr>
          <w:p w14:paraId="13812689">
            <w:pPr>
              <w:shd w:val="clear"/>
              <w:snapToGrid w:val="0"/>
              <w:spacing w:line="240" w:lineRule="auto"/>
              <w:ind w:left="0" w:leftChars="0" w:right="0" w:rightChars="0" w:firstLine="0" w:firstLineChars="0"/>
              <w:jc w:val="center"/>
              <w:rPr>
                <w:rFonts w:hint="eastAsia" w:ascii="Times New Roman" w:hAnsi="Times New Roman" w:eastAsia="宋体" w:cs="Times New Roman"/>
                <w:b w:val="0"/>
                <w:bCs w:val="0"/>
                <w:sz w:val="18"/>
                <w:szCs w:val="18"/>
                <w:highlight w:val="none"/>
                <w:vertAlign w:val="baseline"/>
                <w:lang w:val="en-US" w:eastAsia="zh-CN"/>
              </w:rPr>
            </w:pPr>
            <w:r>
              <w:rPr>
                <w:rFonts w:hint="eastAsia" w:cs="Times New Roman"/>
                <w:b w:val="0"/>
                <w:bCs w:val="0"/>
                <w:sz w:val="18"/>
                <w:szCs w:val="18"/>
                <w:highlight w:val="none"/>
                <w:vertAlign w:val="baseline"/>
                <w:lang w:val="en-US" w:eastAsia="zh-CN"/>
              </w:rPr>
              <w:t>计量器具名称</w:t>
            </w:r>
          </w:p>
        </w:tc>
        <w:tc>
          <w:tcPr>
            <w:tcW w:w="485" w:type="pct"/>
            <w:vAlign w:val="center"/>
          </w:tcPr>
          <w:p w14:paraId="4E221569">
            <w:pPr>
              <w:shd w:val="clear"/>
              <w:snapToGrid w:val="0"/>
              <w:spacing w:line="240" w:lineRule="auto"/>
              <w:ind w:left="0" w:leftChars="0" w:right="0" w:rightChars="0" w:firstLine="0" w:firstLineChars="0"/>
              <w:jc w:val="center"/>
              <w:rPr>
                <w:rFonts w:hint="eastAsia" w:ascii="Times New Roman" w:hAnsi="Times New Roman" w:eastAsia="宋体" w:cs="Times New Roman"/>
                <w:b w:val="0"/>
                <w:bCs w:val="0"/>
                <w:sz w:val="18"/>
                <w:szCs w:val="18"/>
                <w:highlight w:val="none"/>
                <w:vertAlign w:val="baseline"/>
                <w:lang w:val="en-US" w:eastAsia="zh-CN"/>
              </w:rPr>
            </w:pPr>
            <w:r>
              <w:rPr>
                <w:rFonts w:hint="eastAsia" w:cs="Times New Roman"/>
                <w:b w:val="0"/>
                <w:bCs w:val="0"/>
                <w:sz w:val="18"/>
                <w:szCs w:val="18"/>
                <w:highlight w:val="none"/>
                <w:vertAlign w:val="baseline"/>
                <w:lang w:val="en-US" w:eastAsia="zh-CN"/>
              </w:rPr>
              <w:t>型号规格</w:t>
            </w:r>
          </w:p>
        </w:tc>
        <w:tc>
          <w:tcPr>
            <w:tcW w:w="282" w:type="pct"/>
            <w:vAlign w:val="center"/>
          </w:tcPr>
          <w:p w14:paraId="0D64E895">
            <w:pPr>
              <w:shd w:val="clear"/>
              <w:snapToGrid w:val="0"/>
              <w:spacing w:line="240" w:lineRule="auto"/>
              <w:ind w:left="0" w:leftChars="0" w:right="0" w:rightChars="0" w:firstLine="0" w:firstLineChars="0"/>
              <w:jc w:val="center"/>
              <w:rPr>
                <w:rFonts w:hint="eastAsia" w:ascii="Times New Roman" w:hAnsi="Times New Roman" w:eastAsia="宋体" w:cs="Times New Roman"/>
                <w:b w:val="0"/>
                <w:bCs w:val="0"/>
                <w:sz w:val="18"/>
                <w:szCs w:val="18"/>
                <w:highlight w:val="none"/>
                <w:vertAlign w:val="baseline"/>
                <w:lang w:val="en-US" w:eastAsia="zh-CN"/>
              </w:rPr>
            </w:pPr>
            <w:r>
              <w:rPr>
                <w:rFonts w:hint="eastAsia" w:cs="Times New Roman"/>
                <w:b w:val="0"/>
                <w:bCs w:val="0"/>
                <w:sz w:val="18"/>
                <w:szCs w:val="18"/>
                <w:highlight w:val="none"/>
                <w:vertAlign w:val="baseline"/>
                <w:lang w:val="en-US" w:eastAsia="zh-CN"/>
              </w:rPr>
              <w:t>测量范围</w:t>
            </w:r>
          </w:p>
        </w:tc>
        <w:tc>
          <w:tcPr>
            <w:tcW w:w="288" w:type="pct"/>
            <w:vAlign w:val="center"/>
          </w:tcPr>
          <w:p w14:paraId="52A95B67">
            <w:pPr>
              <w:shd w:val="clear"/>
              <w:snapToGrid w:val="0"/>
              <w:spacing w:line="240" w:lineRule="auto"/>
              <w:ind w:left="0" w:leftChars="0" w:right="0" w:rightChars="0" w:firstLine="0" w:firstLineChars="0"/>
              <w:jc w:val="center"/>
              <w:rPr>
                <w:rFonts w:hint="default" w:ascii="Times New Roman" w:hAnsi="Times New Roman" w:eastAsia="宋体" w:cs="Times New Roman"/>
                <w:b w:val="0"/>
                <w:bCs w:val="0"/>
                <w:sz w:val="18"/>
                <w:szCs w:val="18"/>
                <w:highlight w:val="none"/>
                <w:vertAlign w:val="baseline"/>
                <w:lang w:val="en-US" w:eastAsia="zh-CN"/>
              </w:rPr>
            </w:pPr>
            <w:r>
              <w:rPr>
                <w:rFonts w:hint="eastAsia" w:cs="Times New Roman"/>
                <w:b w:val="0"/>
                <w:bCs w:val="0"/>
                <w:sz w:val="18"/>
                <w:szCs w:val="18"/>
                <w:highlight w:val="none"/>
                <w:vertAlign w:val="baseline"/>
                <w:lang w:val="en-US" w:eastAsia="zh-CN"/>
              </w:rPr>
              <w:t>准确度等级</w:t>
            </w:r>
          </w:p>
        </w:tc>
        <w:tc>
          <w:tcPr>
            <w:tcW w:w="331" w:type="pct"/>
            <w:vAlign w:val="center"/>
          </w:tcPr>
          <w:p w14:paraId="430A045B">
            <w:pPr>
              <w:shd w:val="clear"/>
              <w:snapToGrid w:val="0"/>
              <w:spacing w:line="240" w:lineRule="auto"/>
              <w:ind w:left="0" w:leftChars="0" w:right="0" w:rightChars="0" w:firstLine="0" w:firstLineChars="0"/>
              <w:jc w:val="center"/>
              <w:rPr>
                <w:rFonts w:hint="eastAsia" w:ascii="Times New Roman" w:hAnsi="Times New Roman" w:eastAsia="宋体" w:cs="Times New Roman"/>
                <w:b w:val="0"/>
                <w:bCs w:val="0"/>
                <w:sz w:val="18"/>
                <w:szCs w:val="18"/>
                <w:highlight w:val="none"/>
                <w:vertAlign w:val="baseline"/>
                <w:lang w:val="en-US" w:eastAsia="zh-CN"/>
              </w:rPr>
            </w:pPr>
            <w:r>
              <w:rPr>
                <w:rFonts w:hint="eastAsia" w:cs="Times New Roman"/>
                <w:b w:val="0"/>
                <w:bCs w:val="0"/>
                <w:sz w:val="18"/>
                <w:szCs w:val="18"/>
                <w:highlight w:val="none"/>
                <w:vertAlign w:val="baseline"/>
                <w:lang w:val="en-US" w:eastAsia="zh-CN"/>
              </w:rPr>
              <w:t>生产厂家</w:t>
            </w:r>
          </w:p>
        </w:tc>
        <w:tc>
          <w:tcPr>
            <w:tcW w:w="524" w:type="pct"/>
            <w:vAlign w:val="center"/>
          </w:tcPr>
          <w:p w14:paraId="3577C867">
            <w:pPr>
              <w:shd w:val="clear"/>
              <w:snapToGrid w:val="0"/>
              <w:spacing w:line="240" w:lineRule="auto"/>
              <w:ind w:left="0" w:leftChars="0" w:right="0" w:rightChars="0" w:firstLine="0" w:firstLineChars="0"/>
              <w:jc w:val="center"/>
              <w:rPr>
                <w:rFonts w:hint="eastAsia" w:ascii="Times New Roman" w:hAnsi="Times New Roman" w:eastAsia="宋体" w:cs="Times New Roman"/>
                <w:b w:val="0"/>
                <w:bCs w:val="0"/>
                <w:sz w:val="18"/>
                <w:szCs w:val="18"/>
                <w:highlight w:val="none"/>
                <w:vertAlign w:val="baseline"/>
                <w:lang w:val="en-US" w:eastAsia="zh-CN"/>
              </w:rPr>
            </w:pPr>
            <w:r>
              <w:rPr>
                <w:rFonts w:hint="eastAsia" w:cs="Times New Roman"/>
                <w:b w:val="0"/>
                <w:bCs w:val="0"/>
                <w:sz w:val="18"/>
                <w:szCs w:val="18"/>
                <w:highlight w:val="none"/>
                <w:vertAlign w:val="baseline"/>
                <w:lang w:val="en-US" w:eastAsia="zh-CN"/>
              </w:rPr>
              <w:t>出厂编号</w:t>
            </w:r>
          </w:p>
        </w:tc>
        <w:tc>
          <w:tcPr>
            <w:tcW w:w="376" w:type="pct"/>
            <w:vAlign w:val="center"/>
          </w:tcPr>
          <w:p w14:paraId="1C74C9D1">
            <w:pPr>
              <w:shd w:val="clear"/>
              <w:snapToGrid w:val="0"/>
              <w:spacing w:line="240" w:lineRule="auto"/>
              <w:ind w:left="0" w:leftChars="0" w:right="0" w:rightChars="0" w:firstLine="0" w:firstLineChars="0"/>
              <w:jc w:val="center"/>
              <w:rPr>
                <w:rFonts w:hint="default" w:ascii="Times New Roman" w:hAnsi="Times New Roman" w:eastAsia="宋体" w:cs="Times New Roman"/>
                <w:b w:val="0"/>
                <w:bCs w:val="0"/>
                <w:sz w:val="18"/>
                <w:szCs w:val="18"/>
                <w:highlight w:val="none"/>
                <w:vertAlign w:val="baseline"/>
                <w:lang w:val="en-US" w:eastAsia="zh-CN"/>
              </w:rPr>
            </w:pPr>
            <w:r>
              <w:rPr>
                <w:rFonts w:hint="eastAsia" w:cs="Times New Roman"/>
                <w:b w:val="0"/>
                <w:bCs w:val="0"/>
                <w:sz w:val="18"/>
                <w:szCs w:val="18"/>
                <w:highlight w:val="none"/>
                <w:vertAlign w:val="baseline"/>
                <w:lang w:val="en-US" w:eastAsia="zh-CN"/>
              </w:rPr>
              <w:t>排放单位管理编号</w:t>
            </w:r>
          </w:p>
        </w:tc>
        <w:tc>
          <w:tcPr>
            <w:tcW w:w="347" w:type="pct"/>
            <w:vAlign w:val="center"/>
          </w:tcPr>
          <w:p w14:paraId="400ED708">
            <w:pPr>
              <w:shd w:val="clear"/>
              <w:snapToGrid w:val="0"/>
              <w:spacing w:line="240" w:lineRule="auto"/>
              <w:ind w:left="0" w:leftChars="0" w:right="0" w:rightChars="0" w:firstLine="0" w:firstLineChars="0"/>
              <w:jc w:val="center"/>
              <w:rPr>
                <w:rFonts w:hint="default" w:ascii="Times New Roman" w:hAnsi="Times New Roman" w:eastAsia="宋体" w:cs="Times New Roman"/>
                <w:b w:val="0"/>
                <w:bCs w:val="0"/>
                <w:sz w:val="18"/>
                <w:szCs w:val="18"/>
                <w:highlight w:val="none"/>
                <w:vertAlign w:val="baseline"/>
                <w:lang w:val="en-US" w:eastAsia="zh-CN"/>
              </w:rPr>
            </w:pPr>
            <w:r>
              <w:rPr>
                <w:rFonts w:hint="eastAsia" w:cs="Times New Roman"/>
                <w:b w:val="0"/>
                <w:bCs w:val="0"/>
                <w:sz w:val="18"/>
                <w:szCs w:val="18"/>
                <w:highlight w:val="none"/>
                <w:vertAlign w:val="baseline"/>
                <w:lang w:val="en-US" w:eastAsia="zh-CN"/>
              </w:rPr>
              <w:t>安装使用或存放地点</w:t>
            </w:r>
          </w:p>
        </w:tc>
        <w:tc>
          <w:tcPr>
            <w:tcW w:w="376" w:type="pct"/>
            <w:vAlign w:val="center"/>
          </w:tcPr>
          <w:p w14:paraId="649892E2">
            <w:pPr>
              <w:shd w:val="clear"/>
              <w:snapToGrid w:val="0"/>
              <w:spacing w:line="240" w:lineRule="auto"/>
              <w:ind w:left="0" w:leftChars="0" w:right="0" w:rightChars="0" w:firstLine="0" w:firstLineChars="0"/>
              <w:jc w:val="center"/>
              <w:rPr>
                <w:rFonts w:hint="eastAsia" w:ascii="Times New Roman" w:hAnsi="Times New Roman" w:eastAsia="宋体" w:cs="Times New Roman"/>
                <w:b w:val="0"/>
                <w:bCs w:val="0"/>
                <w:sz w:val="18"/>
                <w:szCs w:val="18"/>
                <w:highlight w:val="none"/>
                <w:vertAlign w:val="baseline"/>
                <w:lang w:val="en-US" w:eastAsia="zh-CN"/>
              </w:rPr>
            </w:pPr>
            <w:r>
              <w:rPr>
                <w:rFonts w:hint="eastAsia" w:cs="Times New Roman"/>
                <w:b w:val="0"/>
                <w:bCs w:val="0"/>
                <w:sz w:val="18"/>
                <w:szCs w:val="18"/>
                <w:highlight w:val="none"/>
                <w:vertAlign w:val="baseline"/>
                <w:lang w:val="en-US" w:eastAsia="zh-CN"/>
              </w:rPr>
              <w:t>用途</w:t>
            </w:r>
          </w:p>
        </w:tc>
        <w:tc>
          <w:tcPr>
            <w:tcW w:w="265" w:type="pct"/>
            <w:vAlign w:val="center"/>
          </w:tcPr>
          <w:p w14:paraId="1A82AE56">
            <w:pPr>
              <w:shd w:val="clear"/>
              <w:snapToGrid w:val="0"/>
              <w:spacing w:line="240" w:lineRule="auto"/>
              <w:ind w:left="0" w:leftChars="0" w:right="0" w:rightChars="0" w:firstLine="0" w:firstLineChars="0"/>
              <w:jc w:val="center"/>
              <w:rPr>
                <w:rFonts w:hint="default" w:ascii="Times New Roman" w:hAnsi="Times New Roman" w:eastAsia="宋体" w:cs="Times New Roman"/>
                <w:b w:val="0"/>
                <w:bCs w:val="0"/>
                <w:sz w:val="18"/>
                <w:szCs w:val="18"/>
                <w:highlight w:val="none"/>
                <w:vertAlign w:val="baseline"/>
                <w:lang w:val="en-US" w:eastAsia="zh-CN"/>
              </w:rPr>
            </w:pPr>
            <w:r>
              <w:rPr>
                <w:rFonts w:hint="eastAsia" w:cs="Times New Roman"/>
                <w:b w:val="0"/>
                <w:bCs w:val="0"/>
                <w:sz w:val="18"/>
                <w:szCs w:val="18"/>
                <w:highlight w:val="none"/>
                <w:vertAlign w:val="baseline"/>
                <w:lang w:val="en-US" w:eastAsia="zh-CN"/>
              </w:rPr>
              <w:t>检定周期/校准间隔</w:t>
            </w:r>
          </w:p>
        </w:tc>
        <w:tc>
          <w:tcPr>
            <w:tcW w:w="268" w:type="pct"/>
            <w:vAlign w:val="center"/>
          </w:tcPr>
          <w:p w14:paraId="7C4E5321">
            <w:pPr>
              <w:shd w:val="clear"/>
              <w:snapToGrid w:val="0"/>
              <w:spacing w:line="240" w:lineRule="auto"/>
              <w:ind w:left="0" w:leftChars="0" w:right="0" w:rightChars="0" w:firstLine="0" w:firstLineChars="0"/>
              <w:jc w:val="center"/>
              <w:rPr>
                <w:rFonts w:hint="eastAsia" w:cs="Times New Roman"/>
                <w:b w:val="0"/>
                <w:bCs w:val="0"/>
                <w:sz w:val="18"/>
                <w:szCs w:val="18"/>
                <w:highlight w:val="none"/>
                <w:vertAlign w:val="baseline"/>
                <w:lang w:val="en-US" w:eastAsia="zh-CN"/>
              </w:rPr>
            </w:pPr>
            <w:r>
              <w:rPr>
                <w:rFonts w:hint="eastAsia" w:cs="Times New Roman"/>
                <w:b w:val="0"/>
                <w:bCs w:val="0"/>
                <w:sz w:val="18"/>
                <w:szCs w:val="18"/>
                <w:highlight w:val="none"/>
                <w:vertAlign w:val="baseline"/>
                <w:lang w:val="en-US" w:eastAsia="zh-CN"/>
              </w:rPr>
              <w:t>状态</w:t>
            </w:r>
          </w:p>
          <w:p w14:paraId="5C42DE6B">
            <w:pPr>
              <w:shd w:val="clear"/>
              <w:snapToGrid w:val="0"/>
              <w:spacing w:line="240" w:lineRule="auto"/>
              <w:ind w:left="0" w:leftChars="0" w:right="0" w:rightChars="0" w:firstLine="0" w:firstLineChars="0"/>
              <w:jc w:val="center"/>
              <w:rPr>
                <w:rFonts w:hint="eastAsia" w:cs="Times New Roman"/>
                <w:b w:val="0"/>
                <w:bCs w:val="0"/>
                <w:sz w:val="18"/>
                <w:szCs w:val="18"/>
                <w:highlight w:val="none"/>
                <w:vertAlign w:val="baseline"/>
                <w:lang w:val="en-US" w:eastAsia="zh-CN"/>
              </w:rPr>
            </w:pPr>
            <w:r>
              <w:rPr>
                <w:rFonts w:hint="eastAsia" w:cs="Times New Roman"/>
                <w:b w:val="0"/>
                <w:bCs w:val="0"/>
                <w:sz w:val="18"/>
                <w:szCs w:val="18"/>
                <w:highlight w:val="none"/>
                <w:vertAlign w:val="baseline"/>
                <w:lang w:val="en-US" w:eastAsia="zh-CN"/>
              </w:rPr>
              <w:t>（合格/准用/</w:t>
            </w:r>
          </w:p>
          <w:p w14:paraId="14469F3C">
            <w:pPr>
              <w:shd w:val="clear"/>
              <w:snapToGrid w:val="0"/>
              <w:spacing w:line="240" w:lineRule="auto"/>
              <w:ind w:left="0" w:leftChars="0" w:right="0" w:rightChars="0" w:firstLine="0" w:firstLineChars="0"/>
              <w:jc w:val="center"/>
              <w:rPr>
                <w:rFonts w:hint="default" w:ascii="Times New Roman" w:hAnsi="Times New Roman" w:eastAsia="宋体" w:cs="Times New Roman"/>
                <w:b w:val="0"/>
                <w:bCs w:val="0"/>
                <w:sz w:val="18"/>
                <w:szCs w:val="18"/>
                <w:highlight w:val="none"/>
                <w:vertAlign w:val="baseline"/>
                <w:lang w:val="en-US" w:eastAsia="zh-CN"/>
              </w:rPr>
            </w:pPr>
            <w:r>
              <w:rPr>
                <w:rFonts w:hint="eastAsia" w:cs="Times New Roman"/>
                <w:b w:val="0"/>
                <w:bCs w:val="0"/>
                <w:sz w:val="18"/>
                <w:szCs w:val="18"/>
                <w:highlight w:val="none"/>
                <w:vertAlign w:val="baseline"/>
                <w:lang w:val="en-US" w:eastAsia="zh-CN"/>
              </w:rPr>
              <w:t>停用）</w:t>
            </w:r>
          </w:p>
        </w:tc>
        <w:tc>
          <w:tcPr>
            <w:tcW w:w="528" w:type="pct"/>
            <w:vAlign w:val="center"/>
          </w:tcPr>
          <w:p w14:paraId="767194C1">
            <w:pPr>
              <w:shd w:val="clear"/>
              <w:snapToGrid w:val="0"/>
              <w:spacing w:line="240" w:lineRule="auto"/>
              <w:ind w:left="0" w:leftChars="0" w:right="0" w:rightChars="0" w:firstLine="0" w:firstLineChars="0"/>
              <w:jc w:val="center"/>
              <w:rPr>
                <w:rFonts w:hint="default" w:ascii="Times New Roman" w:hAnsi="Times New Roman" w:eastAsia="宋体" w:cs="Times New Roman"/>
                <w:b w:val="0"/>
                <w:bCs w:val="0"/>
                <w:sz w:val="18"/>
                <w:szCs w:val="18"/>
                <w:highlight w:val="none"/>
                <w:vertAlign w:val="baseline"/>
                <w:lang w:val="en-US" w:eastAsia="zh-CN"/>
              </w:rPr>
            </w:pPr>
            <w:r>
              <w:rPr>
                <w:rFonts w:hint="eastAsia" w:cs="Times New Roman"/>
                <w:b w:val="0"/>
                <w:bCs w:val="0"/>
                <w:sz w:val="18"/>
                <w:szCs w:val="18"/>
                <w:highlight w:val="none"/>
                <w:vertAlign w:val="baseline"/>
                <w:lang w:val="en-US" w:eastAsia="zh-CN"/>
              </w:rPr>
              <w:t>最近检定/校准时间</w:t>
            </w:r>
          </w:p>
        </w:tc>
        <w:tc>
          <w:tcPr>
            <w:tcW w:w="188" w:type="pct"/>
            <w:vAlign w:val="center"/>
          </w:tcPr>
          <w:p w14:paraId="37823A25">
            <w:pPr>
              <w:shd w:val="clear"/>
              <w:snapToGrid w:val="0"/>
              <w:spacing w:line="240" w:lineRule="auto"/>
              <w:ind w:left="0" w:leftChars="0" w:right="0" w:rightChars="0" w:firstLine="0" w:firstLineChars="0"/>
              <w:jc w:val="center"/>
              <w:rPr>
                <w:rFonts w:hint="eastAsia" w:ascii="Times New Roman" w:hAnsi="Times New Roman" w:eastAsia="宋体" w:cs="Times New Roman"/>
                <w:b w:val="0"/>
                <w:bCs w:val="0"/>
                <w:sz w:val="18"/>
                <w:szCs w:val="18"/>
                <w:highlight w:val="none"/>
                <w:vertAlign w:val="baseline"/>
                <w:lang w:val="en-US" w:eastAsia="zh-CN"/>
              </w:rPr>
            </w:pPr>
            <w:r>
              <w:rPr>
                <w:rFonts w:hint="eastAsia" w:cs="Times New Roman"/>
                <w:b w:val="0"/>
                <w:bCs w:val="0"/>
                <w:sz w:val="18"/>
                <w:szCs w:val="18"/>
                <w:highlight w:val="none"/>
                <w:vertAlign w:val="baseline"/>
                <w:lang w:val="en-US" w:eastAsia="zh-CN"/>
              </w:rPr>
              <w:t>备注</w:t>
            </w:r>
          </w:p>
        </w:tc>
      </w:tr>
      <w:tr w14:paraId="1C7EDA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7" w:type="pct"/>
            <w:vAlign w:val="center"/>
          </w:tcPr>
          <w:p w14:paraId="683873CB">
            <w:pPr>
              <w:shd w:val="clear"/>
              <w:snapToGrid w:val="0"/>
              <w:spacing w:line="240" w:lineRule="auto"/>
              <w:ind w:left="0" w:leftChars="0" w:right="0" w:rightChars="0" w:firstLine="0" w:firstLineChars="0"/>
              <w:jc w:val="center"/>
              <w:rPr>
                <w:rFonts w:hint="default" w:ascii="Times New Roman" w:hAnsi="Times New Roman" w:eastAsia="宋体" w:cs="Times New Roman"/>
                <w:sz w:val="21"/>
                <w:szCs w:val="21"/>
                <w:highlight w:val="none"/>
                <w:vertAlign w:val="baseline"/>
                <w:lang w:val="en-US" w:eastAsia="zh-CN"/>
              </w:rPr>
            </w:pPr>
            <w:r>
              <w:rPr>
                <w:rFonts w:hint="eastAsia" w:ascii="Times New Roman" w:hAnsi="Times New Roman" w:eastAsia="宋体" w:cs="Times New Roman"/>
                <w:sz w:val="21"/>
                <w:szCs w:val="21"/>
                <w:highlight w:val="none"/>
                <w:vertAlign w:val="baseline"/>
                <w:lang w:val="en-US" w:eastAsia="zh-CN"/>
              </w:rPr>
              <w:t>1</w:t>
            </w:r>
          </w:p>
        </w:tc>
        <w:tc>
          <w:tcPr>
            <w:tcW w:w="203" w:type="pct"/>
            <w:vAlign w:val="center"/>
          </w:tcPr>
          <w:p w14:paraId="4B419CDA">
            <w:pPr>
              <w:shd w:val="clear"/>
              <w:snapToGrid w:val="0"/>
              <w:spacing w:line="240" w:lineRule="auto"/>
              <w:ind w:left="0" w:leftChars="0" w:right="0" w:rightChars="0" w:firstLine="0" w:firstLineChars="0"/>
              <w:jc w:val="center"/>
              <w:rPr>
                <w:rFonts w:hint="default" w:ascii="Times New Roman" w:hAnsi="Times New Roman" w:eastAsia="宋体" w:cs="Times New Roman"/>
                <w:sz w:val="21"/>
                <w:szCs w:val="21"/>
                <w:highlight w:val="none"/>
                <w:vertAlign w:val="baseline"/>
              </w:rPr>
            </w:pPr>
            <w:r>
              <w:rPr>
                <w:rFonts w:hint="default" w:ascii="Times New Roman" w:hAnsi="Times New Roman" w:eastAsia="宋体" w:cs="Times New Roman"/>
                <w:szCs w:val="21"/>
                <w:highlight w:val="none"/>
              </w:rPr>
              <w:t>电能</w:t>
            </w:r>
          </w:p>
        </w:tc>
        <w:tc>
          <w:tcPr>
            <w:tcW w:w="346" w:type="pct"/>
            <w:vAlign w:val="center"/>
          </w:tcPr>
          <w:p w14:paraId="48E9DE64">
            <w:pPr>
              <w:shd w:val="clear"/>
              <w:snapToGrid w:val="0"/>
              <w:spacing w:line="240" w:lineRule="auto"/>
              <w:ind w:left="0" w:leftChars="0" w:right="0" w:rightChars="0" w:firstLine="0" w:firstLineChars="0"/>
              <w:jc w:val="center"/>
              <w:rPr>
                <w:rFonts w:hint="default" w:ascii="Times New Roman" w:hAnsi="Times New Roman" w:eastAsia="宋体" w:cs="Times New Roman"/>
                <w:szCs w:val="21"/>
                <w:highlight w:val="none"/>
              </w:rPr>
            </w:pPr>
            <w:r>
              <w:rPr>
                <w:rFonts w:hint="default" w:ascii="Times New Roman" w:hAnsi="Times New Roman" w:eastAsia="宋体" w:cs="Times New Roman"/>
                <w:szCs w:val="21"/>
                <w:highlight w:val="none"/>
              </w:rPr>
              <w:t>电子式三相预</w:t>
            </w:r>
          </w:p>
          <w:p w14:paraId="78DE40A5">
            <w:pPr>
              <w:shd w:val="clear"/>
              <w:snapToGrid w:val="0"/>
              <w:spacing w:line="240" w:lineRule="auto"/>
              <w:ind w:left="0" w:leftChars="0" w:right="0" w:rightChars="0" w:firstLine="0" w:firstLineChars="0"/>
              <w:jc w:val="center"/>
              <w:rPr>
                <w:rFonts w:hint="default" w:ascii="Times New Roman" w:hAnsi="Times New Roman" w:eastAsia="宋体" w:cs="Times New Roman"/>
                <w:sz w:val="21"/>
                <w:szCs w:val="21"/>
                <w:highlight w:val="none"/>
                <w:vertAlign w:val="baseline"/>
              </w:rPr>
            </w:pPr>
            <w:r>
              <w:rPr>
                <w:rFonts w:hint="default" w:ascii="Times New Roman" w:hAnsi="Times New Roman" w:eastAsia="宋体" w:cs="Times New Roman"/>
                <w:szCs w:val="21"/>
                <w:highlight w:val="none"/>
              </w:rPr>
              <w:t>付费电能表</w:t>
            </w:r>
          </w:p>
        </w:tc>
        <w:tc>
          <w:tcPr>
            <w:tcW w:w="485" w:type="pct"/>
            <w:vAlign w:val="center"/>
          </w:tcPr>
          <w:p w14:paraId="2D6407A2">
            <w:pPr>
              <w:shd w:val="clear"/>
              <w:snapToGrid w:val="0"/>
              <w:spacing w:line="240" w:lineRule="auto"/>
              <w:ind w:left="0" w:leftChars="0" w:right="0" w:rightChars="0" w:firstLine="0" w:firstLineChars="0"/>
              <w:jc w:val="center"/>
              <w:rPr>
                <w:rFonts w:hint="default" w:ascii="Times New Roman" w:hAnsi="Times New Roman" w:eastAsia="宋体" w:cs="Times New Roman"/>
                <w:sz w:val="21"/>
                <w:szCs w:val="21"/>
                <w:highlight w:val="none"/>
                <w:vertAlign w:val="baseline"/>
              </w:rPr>
            </w:pPr>
            <w:r>
              <w:rPr>
                <w:rFonts w:hint="default" w:ascii="Times New Roman" w:hAnsi="Times New Roman" w:eastAsia="宋体" w:cs="Times New Roman"/>
                <w:szCs w:val="21"/>
                <w:highlight w:val="none"/>
              </w:rPr>
              <w:t>DTSY6607 3x220V3x1.5(6)A</w:t>
            </w:r>
          </w:p>
        </w:tc>
        <w:tc>
          <w:tcPr>
            <w:tcW w:w="282" w:type="pct"/>
            <w:vAlign w:val="center"/>
          </w:tcPr>
          <w:p w14:paraId="3E3F043D">
            <w:pPr>
              <w:shd w:val="clear"/>
              <w:snapToGrid w:val="0"/>
              <w:spacing w:line="240" w:lineRule="auto"/>
              <w:ind w:left="0" w:leftChars="0" w:right="0" w:rightChars="0" w:firstLine="0" w:firstLineChars="0"/>
              <w:jc w:val="center"/>
              <w:rPr>
                <w:rFonts w:hint="default" w:ascii="Times New Roman" w:hAnsi="Times New Roman" w:eastAsia="宋体" w:cs="Times New Roman"/>
                <w:sz w:val="21"/>
                <w:szCs w:val="21"/>
                <w:highlight w:val="none"/>
                <w:vertAlign w:val="baseline"/>
                <w:lang w:val="en-US" w:eastAsia="zh-CN"/>
              </w:rPr>
            </w:pPr>
            <w:r>
              <w:rPr>
                <w:rFonts w:hint="default" w:ascii="Times New Roman" w:hAnsi="Times New Roman" w:eastAsia="宋体" w:cs="Times New Roman"/>
                <w:szCs w:val="21"/>
                <w:highlight w:val="none"/>
              </w:rPr>
              <w:t>外购电力</w:t>
            </w:r>
          </w:p>
        </w:tc>
        <w:tc>
          <w:tcPr>
            <w:tcW w:w="288" w:type="pct"/>
            <w:vAlign w:val="center"/>
          </w:tcPr>
          <w:p w14:paraId="0522FE0B">
            <w:pPr>
              <w:shd w:val="clear"/>
              <w:snapToGrid w:val="0"/>
              <w:spacing w:line="240" w:lineRule="auto"/>
              <w:ind w:left="0" w:leftChars="0" w:right="0" w:rightChars="0" w:firstLine="0" w:firstLineChars="0"/>
              <w:jc w:val="center"/>
              <w:rPr>
                <w:rFonts w:hint="default" w:ascii="Times New Roman" w:hAnsi="Times New Roman" w:eastAsia="宋体" w:cs="Times New Roman"/>
                <w:sz w:val="21"/>
                <w:szCs w:val="21"/>
                <w:highlight w:val="none"/>
                <w:vertAlign w:val="baseline"/>
                <w:lang w:val="en-US" w:eastAsia="zh-CN"/>
              </w:rPr>
            </w:pPr>
            <w:r>
              <w:rPr>
                <w:rFonts w:hint="eastAsia" w:ascii="Times New Roman" w:hAnsi="Times New Roman" w:eastAsia="宋体" w:cs="Times New Roman"/>
                <w:sz w:val="21"/>
                <w:szCs w:val="21"/>
                <w:highlight w:val="none"/>
                <w:vertAlign w:val="baseline"/>
                <w:lang w:val="en-US" w:eastAsia="zh-CN"/>
              </w:rPr>
              <w:t>0.03级</w:t>
            </w:r>
          </w:p>
        </w:tc>
        <w:tc>
          <w:tcPr>
            <w:tcW w:w="331" w:type="pct"/>
            <w:vAlign w:val="center"/>
          </w:tcPr>
          <w:p w14:paraId="5355774D">
            <w:pPr>
              <w:shd w:val="clear"/>
              <w:snapToGrid w:val="0"/>
              <w:spacing w:line="240" w:lineRule="auto"/>
              <w:ind w:left="0" w:leftChars="0" w:right="0" w:rightChars="0" w:firstLine="0" w:firstLineChars="0"/>
              <w:jc w:val="center"/>
              <w:rPr>
                <w:rFonts w:hint="default" w:ascii="Times New Roman" w:hAnsi="Times New Roman" w:eastAsia="宋体" w:cs="Times New Roman"/>
                <w:sz w:val="21"/>
                <w:szCs w:val="21"/>
                <w:highlight w:val="none"/>
                <w:vertAlign w:val="baseline"/>
              </w:rPr>
            </w:pPr>
            <w:r>
              <w:rPr>
                <w:rFonts w:hint="default" w:ascii="Times New Roman" w:hAnsi="Times New Roman" w:eastAsia="宋体" w:cs="Times New Roman"/>
                <w:szCs w:val="21"/>
                <w:highlight w:val="none"/>
              </w:rPr>
              <w:t>浙江拓强电气有限公司</w:t>
            </w:r>
          </w:p>
        </w:tc>
        <w:tc>
          <w:tcPr>
            <w:tcW w:w="524" w:type="pct"/>
            <w:vAlign w:val="center"/>
          </w:tcPr>
          <w:p w14:paraId="5C546215">
            <w:pPr>
              <w:shd w:val="clear"/>
              <w:snapToGrid w:val="0"/>
              <w:spacing w:line="240" w:lineRule="auto"/>
              <w:ind w:left="0" w:leftChars="0" w:right="0" w:rightChars="0" w:firstLine="0" w:firstLineChars="0"/>
              <w:jc w:val="center"/>
              <w:rPr>
                <w:rFonts w:hint="default" w:ascii="Times New Roman" w:hAnsi="Times New Roman" w:eastAsia="宋体" w:cs="Times New Roman"/>
                <w:sz w:val="21"/>
                <w:szCs w:val="21"/>
                <w:highlight w:val="none"/>
                <w:vertAlign w:val="baseline"/>
              </w:rPr>
            </w:pPr>
            <w:r>
              <w:rPr>
                <w:rFonts w:hint="default" w:ascii="Times New Roman" w:hAnsi="Times New Roman" w:eastAsia="宋体" w:cs="Times New Roman"/>
                <w:szCs w:val="21"/>
                <w:highlight w:val="none"/>
              </w:rPr>
              <w:t>210917551894</w:t>
            </w:r>
          </w:p>
        </w:tc>
        <w:tc>
          <w:tcPr>
            <w:tcW w:w="376" w:type="pct"/>
            <w:vAlign w:val="center"/>
          </w:tcPr>
          <w:p w14:paraId="2EADF1D0">
            <w:pPr>
              <w:shd w:val="clear"/>
              <w:snapToGrid w:val="0"/>
              <w:spacing w:line="240" w:lineRule="auto"/>
              <w:ind w:left="0" w:leftChars="0" w:right="0" w:rightChars="0" w:firstLine="0" w:firstLineChars="0"/>
              <w:jc w:val="center"/>
              <w:rPr>
                <w:rFonts w:hint="default" w:ascii="Times New Roman" w:hAnsi="Times New Roman" w:eastAsia="宋体" w:cs="Times New Roman"/>
                <w:sz w:val="21"/>
                <w:szCs w:val="21"/>
                <w:highlight w:val="none"/>
                <w:vertAlign w:val="baseline"/>
                <w:lang w:val="en-US" w:eastAsia="zh-CN"/>
              </w:rPr>
            </w:pPr>
            <w:r>
              <w:rPr>
                <w:rFonts w:hint="eastAsia" w:ascii="Times New Roman" w:hAnsi="Times New Roman" w:eastAsia="宋体" w:cs="Times New Roman"/>
                <w:sz w:val="21"/>
                <w:szCs w:val="21"/>
                <w:highlight w:val="none"/>
                <w:vertAlign w:val="baseline"/>
                <w:lang w:val="en-US" w:eastAsia="zh-CN"/>
              </w:rPr>
              <w:t>JKDL-01</w:t>
            </w:r>
          </w:p>
        </w:tc>
        <w:tc>
          <w:tcPr>
            <w:tcW w:w="347" w:type="pct"/>
            <w:vAlign w:val="center"/>
          </w:tcPr>
          <w:p w14:paraId="1F1004EE">
            <w:pPr>
              <w:shd w:val="clear"/>
              <w:snapToGrid w:val="0"/>
              <w:spacing w:line="240" w:lineRule="auto"/>
              <w:ind w:left="0" w:leftChars="0" w:right="0" w:rightChars="0" w:firstLine="0" w:firstLineChars="0"/>
              <w:jc w:val="center"/>
              <w:rPr>
                <w:rFonts w:hint="default" w:ascii="Times New Roman" w:hAnsi="Times New Roman" w:eastAsia="宋体" w:cs="Times New Roman"/>
                <w:sz w:val="21"/>
                <w:szCs w:val="21"/>
                <w:highlight w:val="none"/>
                <w:vertAlign w:val="baseline"/>
                <w:lang w:val="en-US" w:eastAsia="zh-CN"/>
              </w:rPr>
            </w:pPr>
            <w:r>
              <w:rPr>
                <w:rFonts w:hint="eastAsia" w:ascii="Times New Roman" w:hAnsi="Times New Roman" w:eastAsia="宋体" w:cs="Times New Roman"/>
                <w:sz w:val="21"/>
                <w:szCs w:val="21"/>
                <w:highlight w:val="none"/>
                <w:vertAlign w:val="baseline"/>
                <w:lang w:val="en-US" w:eastAsia="zh-CN"/>
              </w:rPr>
              <w:t>临时办公室旁</w:t>
            </w:r>
          </w:p>
        </w:tc>
        <w:tc>
          <w:tcPr>
            <w:tcW w:w="376" w:type="pct"/>
            <w:vAlign w:val="center"/>
          </w:tcPr>
          <w:p w14:paraId="06CE8538">
            <w:pPr>
              <w:shd w:val="clear"/>
              <w:snapToGrid w:val="0"/>
              <w:spacing w:line="240" w:lineRule="auto"/>
              <w:ind w:left="0" w:leftChars="0" w:right="0" w:rightChars="0" w:firstLine="0" w:firstLineChars="0"/>
              <w:jc w:val="center"/>
              <w:rPr>
                <w:rFonts w:hint="default" w:ascii="Times New Roman" w:hAnsi="Times New Roman" w:eastAsia="宋体" w:cs="Times New Roman"/>
                <w:sz w:val="21"/>
                <w:szCs w:val="21"/>
                <w:highlight w:val="none"/>
                <w:vertAlign w:val="baseline"/>
                <w:lang w:val="en-US" w:eastAsia="zh-CN"/>
              </w:rPr>
            </w:pPr>
            <w:r>
              <w:rPr>
                <w:rFonts w:hint="eastAsia" w:ascii="Times New Roman" w:hAnsi="Times New Roman" w:eastAsia="宋体" w:cs="Times New Roman"/>
                <w:sz w:val="21"/>
                <w:szCs w:val="21"/>
                <w:highlight w:val="none"/>
                <w:vertAlign w:val="baseline"/>
                <w:lang w:val="en-US" w:eastAsia="zh-CN"/>
              </w:rPr>
              <w:t>外购电力计量</w:t>
            </w:r>
          </w:p>
        </w:tc>
        <w:tc>
          <w:tcPr>
            <w:tcW w:w="265" w:type="pct"/>
            <w:vAlign w:val="center"/>
          </w:tcPr>
          <w:p w14:paraId="5114DCB2">
            <w:pPr>
              <w:shd w:val="clear"/>
              <w:snapToGrid w:val="0"/>
              <w:spacing w:line="240" w:lineRule="auto"/>
              <w:ind w:left="0" w:leftChars="0" w:right="0" w:rightChars="0" w:firstLine="0" w:firstLineChars="0"/>
              <w:jc w:val="center"/>
              <w:rPr>
                <w:rFonts w:hint="default" w:ascii="Times New Roman" w:hAnsi="Times New Roman" w:eastAsia="宋体" w:cs="Times New Roman"/>
                <w:sz w:val="21"/>
                <w:szCs w:val="21"/>
                <w:highlight w:val="none"/>
                <w:vertAlign w:val="baseline"/>
                <w:lang w:val="en-US" w:eastAsia="zh-CN"/>
              </w:rPr>
            </w:pPr>
            <w:r>
              <w:rPr>
                <w:rFonts w:hint="eastAsia" w:ascii="Times New Roman" w:hAnsi="Times New Roman" w:eastAsia="宋体" w:cs="Times New Roman"/>
                <w:sz w:val="21"/>
                <w:szCs w:val="21"/>
                <w:highlight w:val="none"/>
                <w:vertAlign w:val="baseline"/>
                <w:lang w:val="en-US" w:eastAsia="zh-CN"/>
              </w:rPr>
              <w:t>1年</w:t>
            </w:r>
          </w:p>
        </w:tc>
        <w:tc>
          <w:tcPr>
            <w:tcW w:w="268" w:type="pct"/>
            <w:vAlign w:val="center"/>
          </w:tcPr>
          <w:p w14:paraId="41BE7932">
            <w:pPr>
              <w:shd w:val="clear"/>
              <w:snapToGrid w:val="0"/>
              <w:spacing w:line="240" w:lineRule="auto"/>
              <w:ind w:left="0" w:leftChars="0" w:right="0" w:rightChars="0" w:firstLine="0" w:firstLineChars="0"/>
              <w:jc w:val="center"/>
              <w:rPr>
                <w:rFonts w:hint="eastAsia" w:ascii="Times New Roman" w:hAnsi="Times New Roman" w:eastAsia="宋体" w:cs="Times New Roman"/>
                <w:sz w:val="21"/>
                <w:szCs w:val="21"/>
                <w:highlight w:val="none"/>
                <w:vertAlign w:val="baseline"/>
                <w:lang w:val="en-US" w:eastAsia="zh-CN"/>
              </w:rPr>
            </w:pPr>
            <w:r>
              <w:rPr>
                <w:rFonts w:hint="eastAsia" w:ascii="Times New Roman" w:hAnsi="Times New Roman" w:eastAsia="宋体" w:cs="Times New Roman"/>
                <w:sz w:val="21"/>
                <w:szCs w:val="21"/>
                <w:highlight w:val="none"/>
                <w:vertAlign w:val="baseline"/>
                <w:lang w:val="en-US" w:eastAsia="zh-CN"/>
              </w:rPr>
              <w:t>合格</w:t>
            </w:r>
          </w:p>
        </w:tc>
        <w:tc>
          <w:tcPr>
            <w:tcW w:w="528" w:type="pct"/>
            <w:vAlign w:val="center"/>
          </w:tcPr>
          <w:p w14:paraId="239BF4D8">
            <w:pPr>
              <w:shd w:val="clear"/>
              <w:snapToGrid w:val="0"/>
              <w:spacing w:line="240" w:lineRule="auto"/>
              <w:ind w:left="0" w:leftChars="0" w:right="0" w:rightChars="0" w:firstLine="0" w:firstLineChars="0"/>
              <w:jc w:val="center"/>
              <w:rPr>
                <w:rFonts w:hint="default" w:ascii="Times New Roman" w:hAnsi="Times New Roman" w:eastAsia="宋体" w:cs="Times New Roman"/>
                <w:sz w:val="21"/>
                <w:szCs w:val="21"/>
                <w:highlight w:val="none"/>
                <w:vertAlign w:val="baseline"/>
                <w:lang w:val="en-US" w:eastAsia="zh-CN"/>
              </w:rPr>
            </w:pPr>
            <w:r>
              <w:rPr>
                <w:rFonts w:hint="eastAsia" w:ascii="Times New Roman" w:hAnsi="Times New Roman" w:eastAsia="宋体" w:cs="Times New Roman"/>
                <w:sz w:val="21"/>
                <w:szCs w:val="21"/>
                <w:highlight w:val="none"/>
                <w:vertAlign w:val="baseline"/>
                <w:lang w:val="en-US" w:eastAsia="zh-CN"/>
              </w:rPr>
              <w:t>2024.11.29</w:t>
            </w:r>
          </w:p>
        </w:tc>
        <w:tc>
          <w:tcPr>
            <w:tcW w:w="188" w:type="pct"/>
            <w:vAlign w:val="center"/>
          </w:tcPr>
          <w:p w14:paraId="209285AD">
            <w:pPr>
              <w:shd w:val="clear"/>
              <w:snapToGrid w:val="0"/>
              <w:spacing w:line="240" w:lineRule="auto"/>
              <w:ind w:left="0" w:leftChars="0" w:right="0" w:rightChars="0" w:firstLine="0" w:firstLineChars="0"/>
              <w:jc w:val="center"/>
              <w:rPr>
                <w:rFonts w:hint="default" w:ascii="Times New Roman" w:hAnsi="Times New Roman" w:eastAsia="宋体" w:cs="Times New Roman"/>
                <w:sz w:val="21"/>
                <w:szCs w:val="21"/>
                <w:highlight w:val="none"/>
                <w:vertAlign w:val="baseline"/>
              </w:rPr>
            </w:pPr>
          </w:p>
        </w:tc>
      </w:tr>
      <w:tr w14:paraId="29F7C9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7" w:type="pct"/>
            <w:vAlign w:val="center"/>
          </w:tcPr>
          <w:p w14:paraId="523AB9F9">
            <w:pPr>
              <w:shd w:val="clear"/>
              <w:snapToGrid w:val="0"/>
              <w:spacing w:line="240" w:lineRule="auto"/>
              <w:ind w:left="0" w:leftChars="0" w:right="0" w:rightChars="0" w:firstLine="0" w:firstLineChars="0"/>
              <w:jc w:val="center"/>
              <w:rPr>
                <w:rFonts w:hint="eastAsia" w:ascii="Times New Roman" w:hAnsi="Times New Roman" w:eastAsia="宋体" w:cs="Times New Roman"/>
                <w:sz w:val="21"/>
                <w:szCs w:val="21"/>
                <w:highlight w:val="none"/>
                <w:vertAlign w:val="baseline"/>
                <w:lang w:val="en-US" w:eastAsia="zh-CN"/>
              </w:rPr>
            </w:pPr>
            <w:r>
              <w:rPr>
                <w:rFonts w:hint="eastAsia" w:ascii="Times New Roman" w:hAnsi="Times New Roman" w:eastAsia="宋体" w:cs="Times New Roman"/>
                <w:sz w:val="21"/>
                <w:szCs w:val="21"/>
                <w:highlight w:val="none"/>
                <w:vertAlign w:val="baseline"/>
                <w:lang w:val="en-US" w:eastAsia="zh-CN"/>
              </w:rPr>
              <w:t>2</w:t>
            </w:r>
          </w:p>
        </w:tc>
        <w:tc>
          <w:tcPr>
            <w:tcW w:w="203" w:type="pct"/>
            <w:vAlign w:val="center"/>
          </w:tcPr>
          <w:p w14:paraId="6FB1021E">
            <w:pPr>
              <w:shd w:val="clear"/>
              <w:snapToGrid w:val="0"/>
              <w:spacing w:line="240" w:lineRule="auto"/>
              <w:ind w:left="0" w:leftChars="0" w:right="0" w:rightChars="0" w:firstLine="0" w:firstLineChars="0"/>
              <w:jc w:val="center"/>
              <w:rPr>
                <w:rFonts w:hint="default" w:ascii="Times New Roman" w:hAnsi="Times New Roman" w:eastAsia="宋体" w:cs="Times New Roman"/>
                <w:sz w:val="21"/>
                <w:szCs w:val="21"/>
                <w:highlight w:val="none"/>
                <w:vertAlign w:val="baseline"/>
              </w:rPr>
            </w:pPr>
            <w:r>
              <w:rPr>
                <w:rFonts w:hint="default" w:ascii="Times New Roman" w:hAnsi="Times New Roman" w:eastAsia="宋体" w:cs="Times New Roman"/>
                <w:szCs w:val="21"/>
                <w:highlight w:val="none"/>
              </w:rPr>
              <w:t>燃油</w:t>
            </w:r>
          </w:p>
        </w:tc>
        <w:tc>
          <w:tcPr>
            <w:tcW w:w="346" w:type="pct"/>
            <w:vAlign w:val="center"/>
          </w:tcPr>
          <w:p w14:paraId="47BD9FAE">
            <w:pPr>
              <w:shd w:val="clear"/>
              <w:snapToGrid w:val="0"/>
              <w:spacing w:line="240" w:lineRule="auto"/>
              <w:ind w:left="0" w:leftChars="0" w:right="0" w:rightChars="0" w:firstLine="0" w:firstLineChars="0"/>
              <w:jc w:val="center"/>
              <w:rPr>
                <w:rFonts w:hint="default" w:ascii="Times New Roman" w:hAnsi="Times New Roman" w:eastAsia="宋体" w:cs="Times New Roman"/>
                <w:sz w:val="21"/>
                <w:szCs w:val="21"/>
                <w:highlight w:val="none"/>
                <w:vertAlign w:val="baseline"/>
              </w:rPr>
            </w:pPr>
            <w:r>
              <w:rPr>
                <w:rFonts w:hint="default" w:ascii="Times New Roman" w:hAnsi="Times New Roman" w:eastAsia="宋体" w:cs="Times New Roman"/>
                <w:szCs w:val="21"/>
                <w:highlight w:val="none"/>
              </w:rPr>
              <w:t>涡轮流量计</w:t>
            </w:r>
          </w:p>
        </w:tc>
        <w:tc>
          <w:tcPr>
            <w:tcW w:w="485" w:type="pct"/>
            <w:vAlign w:val="center"/>
          </w:tcPr>
          <w:p w14:paraId="7FC3DC83">
            <w:pPr>
              <w:shd w:val="clear"/>
              <w:snapToGrid w:val="0"/>
              <w:spacing w:line="240" w:lineRule="auto"/>
              <w:ind w:left="0" w:leftChars="0" w:right="0" w:rightChars="0" w:firstLine="0" w:firstLineChars="0"/>
              <w:jc w:val="center"/>
              <w:rPr>
                <w:rFonts w:hint="default" w:ascii="Times New Roman" w:hAnsi="Times New Roman" w:eastAsia="宋体" w:cs="Times New Roman"/>
                <w:sz w:val="21"/>
                <w:szCs w:val="21"/>
                <w:highlight w:val="none"/>
                <w:vertAlign w:val="baseline"/>
              </w:rPr>
            </w:pPr>
            <w:r>
              <w:rPr>
                <w:rFonts w:hint="default" w:ascii="Times New Roman" w:hAnsi="Times New Roman" w:eastAsia="宋体" w:cs="Times New Roman"/>
                <w:szCs w:val="21"/>
                <w:highlight w:val="none"/>
              </w:rPr>
              <w:t>SHLWGYDB-20F</w:t>
            </w:r>
          </w:p>
        </w:tc>
        <w:tc>
          <w:tcPr>
            <w:tcW w:w="282" w:type="pct"/>
            <w:vAlign w:val="center"/>
          </w:tcPr>
          <w:p w14:paraId="72B73701">
            <w:pPr>
              <w:shd w:val="clear"/>
              <w:snapToGrid w:val="0"/>
              <w:spacing w:line="240" w:lineRule="auto"/>
              <w:ind w:left="0" w:leftChars="0" w:right="0" w:rightChars="0" w:firstLine="0" w:firstLineChars="0"/>
              <w:jc w:val="center"/>
              <w:rPr>
                <w:rFonts w:hint="default" w:ascii="Times New Roman" w:hAnsi="Times New Roman" w:eastAsia="宋体" w:cs="Times New Roman"/>
                <w:sz w:val="21"/>
                <w:szCs w:val="21"/>
                <w:highlight w:val="none"/>
                <w:vertAlign w:val="baseline"/>
                <w:lang w:val="en-US"/>
              </w:rPr>
            </w:pPr>
            <w:r>
              <w:rPr>
                <w:rFonts w:hint="default" w:ascii="Times New Roman" w:hAnsi="Times New Roman" w:eastAsia="宋体" w:cs="Times New Roman"/>
                <w:sz w:val="24"/>
                <w:szCs w:val="24"/>
                <w:highlight w:val="none"/>
                <w:vertAlign w:val="baseline"/>
                <w:lang w:val="en-US" w:eastAsia="zh-CN"/>
              </w:rPr>
              <w:t>外购</w:t>
            </w:r>
            <w:r>
              <w:rPr>
                <w:rFonts w:hint="eastAsia" w:ascii="Times New Roman" w:hAnsi="Times New Roman" w:eastAsia="宋体" w:cs="Times New Roman"/>
                <w:sz w:val="24"/>
                <w:szCs w:val="24"/>
                <w:highlight w:val="none"/>
                <w:vertAlign w:val="baseline"/>
                <w:lang w:val="en-US" w:eastAsia="zh-CN"/>
              </w:rPr>
              <w:t>燃油</w:t>
            </w:r>
          </w:p>
        </w:tc>
        <w:tc>
          <w:tcPr>
            <w:tcW w:w="288" w:type="pct"/>
            <w:vAlign w:val="center"/>
          </w:tcPr>
          <w:p w14:paraId="0A0C71B1">
            <w:pPr>
              <w:shd w:val="clear"/>
              <w:snapToGrid w:val="0"/>
              <w:spacing w:line="240" w:lineRule="auto"/>
              <w:ind w:left="0" w:leftChars="0" w:right="0" w:rightChars="0" w:firstLine="0" w:firstLineChars="0"/>
              <w:jc w:val="center"/>
              <w:rPr>
                <w:rFonts w:hint="default" w:ascii="Times New Roman" w:hAnsi="Times New Roman" w:eastAsia="宋体" w:cs="Times New Roman"/>
                <w:sz w:val="21"/>
                <w:szCs w:val="21"/>
                <w:highlight w:val="none"/>
                <w:vertAlign w:val="baseline"/>
                <w:lang w:val="en-US" w:eastAsia="zh-CN"/>
              </w:rPr>
            </w:pPr>
            <w:r>
              <w:rPr>
                <w:rFonts w:hint="eastAsia" w:ascii="Times New Roman" w:hAnsi="Times New Roman" w:eastAsia="宋体" w:cs="Times New Roman"/>
                <w:sz w:val="21"/>
                <w:szCs w:val="21"/>
                <w:highlight w:val="none"/>
                <w:vertAlign w:val="baseline"/>
                <w:lang w:val="en-US" w:eastAsia="zh-CN"/>
              </w:rPr>
              <w:t>0.5级</w:t>
            </w:r>
          </w:p>
        </w:tc>
        <w:tc>
          <w:tcPr>
            <w:tcW w:w="331" w:type="pct"/>
            <w:vAlign w:val="center"/>
          </w:tcPr>
          <w:p w14:paraId="61A83216">
            <w:pPr>
              <w:shd w:val="clear"/>
              <w:snapToGrid w:val="0"/>
              <w:spacing w:line="240" w:lineRule="auto"/>
              <w:ind w:left="0" w:leftChars="0" w:right="0" w:rightChars="0" w:firstLine="0" w:firstLineChars="0"/>
              <w:jc w:val="center"/>
              <w:rPr>
                <w:rFonts w:hint="default" w:ascii="Times New Roman" w:hAnsi="Times New Roman" w:eastAsia="宋体" w:cs="Times New Roman"/>
                <w:sz w:val="21"/>
                <w:szCs w:val="21"/>
                <w:highlight w:val="none"/>
                <w:vertAlign w:val="baseline"/>
              </w:rPr>
            </w:pPr>
            <w:r>
              <w:rPr>
                <w:rFonts w:hint="default" w:ascii="Times New Roman" w:hAnsi="Times New Roman" w:eastAsia="宋体" w:cs="Times New Roman"/>
                <w:szCs w:val="21"/>
                <w:highlight w:val="none"/>
              </w:rPr>
              <w:t>江苏上衡仪表有限公司</w:t>
            </w:r>
          </w:p>
        </w:tc>
        <w:tc>
          <w:tcPr>
            <w:tcW w:w="524" w:type="pct"/>
            <w:vAlign w:val="center"/>
          </w:tcPr>
          <w:p w14:paraId="4B9EF76E">
            <w:pPr>
              <w:shd w:val="clear"/>
              <w:snapToGrid w:val="0"/>
              <w:spacing w:line="240" w:lineRule="auto"/>
              <w:ind w:left="0" w:leftChars="0" w:right="0" w:rightChars="0" w:firstLine="0" w:firstLineChars="0"/>
              <w:jc w:val="center"/>
              <w:rPr>
                <w:rFonts w:hint="default" w:ascii="Times New Roman" w:hAnsi="Times New Roman" w:eastAsia="宋体" w:cs="Times New Roman"/>
                <w:sz w:val="21"/>
                <w:szCs w:val="21"/>
                <w:highlight w:val="none"/>
                <w:vertAlign w:val="baseline"/>
              </w:rPr>
            </w:pPr>
            <w:r>
              <w:rPr>
                <w:rFonts w:hint="default" w:ascii="Times New Roman" w:hAnsi="Times New Roman" w:eastAsia="宋体" w:cs="Times New Roman"/>
                <w:szCs w:val="21"/>
                <w:highlight w:val="none"/>
              </w:rPr>
              <w:t>SHLW220817879</w:t>
            </w:r>
          </w:p>
        </w:tc>
        <w:tc>
          <w:tcPr>
            <w:tcW w:w="376" w:type="pct"/>
            <w:vAlign w:val="center"/>
          </w:tcPr>
          <w:p w14:paraId="41693505">
            <w:pPr>
              <w:shd w:val="clear"/>
              <w:snapToGrid w:val="0"/>
              <w:spacing w:line="240" w:lineRule="auto"/>
              <w:ind w:left="0" w:leftChars="0" w:right="0" w:rightChars="0" w:firstLine="0" w:firstLineChars="0"/>
              <w:jc w:val="center"/>
              <w:rPr>
                <w:rFonts w:hint="default" w:ascii="Times New Roman" w:hAnsi="Times New Roman" w:eastAsia="宋体" w:cs="Times New Roman"/>
                <w:sz w:val="21"/>
                <w:szCs w:val="21"/>
                <w:highlight w:val="none"/>
                <w:vertAlign w:val="baseline"/>
                <w:lang w:val="en-US"/>
              </w:rPr>
            </w:pPr>
            <w:r>
              <w:rPr>
                <w:rFonts w:hint="eastAsia" w:ascii="Times New Roman" w:hAnsi="Times New Roman" w:eastAsia="宋体" w:cs="Times New Roman"/>
                <w:sz w:val="21"/>
                <w:szCs w:val="21"/>
                <w:highlight w:val="none"/>
                <w:vertAlign w:val="baseline"/>
                <w:lang w:val="en-US" w:eastAsia="zh-CN"/>
              </w:rPr>
              <w:t>JKDL-02</w:t>
            </w:r>
          </w:p>
        </w:tc>
        <w:tc>
          <w:tcPr>
            <w:tcW w:w="347" w:type="pct"/>
            <w:vAlign w:val="center"/>
          </w:tcPr>
          <w:p w14:paraId="553E639F">
            <w:pPr>
              <w:shd w:val="clear"/>
              <w:snapToGrid w:val="0"/>
              <w:spacing w:line="240" w:lineRule="auto"/>
              <w:ind w:left="0" w:leftChars="0" w:right="0" w:rightChars="0" w:firstLine="0" w:firstLineChars="0"/>
              <w:jc w:val="center"/>
              <w:rPr>
                <w:rFonts w:hint="default" w:ascii="Times New Roman" w:hAnsi="Times New Roman" w:eastAsia="宋体" w:cs="Times New Roman"/>
                <w:sz w:val="21"/>
                <w:szCs w:val="21"/>
                <w:highlight w:val="none"/>
                <w:vertAlign w:val="baseline"/>
                <w:lang w:val="en-US" w:eastAsia="zh-CN"/>
              </w:rPr>
            </w:pPr>
            <w:r>
              <w:rPr>
                <w:rFonts w:hint="eastAsia" w:ascii="Times New Roman" w:hAnsi="Times New Roman" w:eastAsia="宋体" w:cs="Times New Roman"/>
                <w:sz w:val="21"/>
                <w:szCs w:val="21"/>
                <w:highlight w:val="none"/>
                <w:vertAlign w:val="baseline"/>
                <w:lang w:val="en-US" w:eastAsia="zh-CN"/>
              </w:rPr>
              <w:t>场内燃油贮存区</w:t>
            </w:r>
          </w:p>
        </w:tc>
        <w:tc>
          <w:tcPr>
            <w:tcW w:w="376" w:type="pct"/>
            <w:vAlign w:val="center"/>
          </w:tcPr>
          <w:p w14:paraId="0708EF5A">
            <w:pPr>
              <w:shd w:val="clear"/>
              <w:snapToGrid w:val="0"/>
              <w:spacing w:line="240" w:lineRule="auto"/>
              <w:ind w:left="0" w:leftChars="0" w:right="0" w:rightChars="0" w:firstLine="0" w:firstLineChars="0"/>
              <w:jc w:val="center"/>
              <w:rPr>
                <w:rFonts w:hint="default" w:ascii="Times New Roman" w:hAnsi="Times New Roman" w:eastAsia="宋体" w:cs="Times New Roman"/>
                <w:sz w:val="21"/>
                <w:szCs w:val="21"/>
                <w:highlight w:val="none"/>
                <w:vertAlign w:val="baseline"/>
                <w:lang w:val="en-US" w:eastAsia="zh-CN"/>
              </w:rPr>
            </w:pPr>
            <w:r>
              <w:rPr>
                <w:rFonts w:hint="eastAsia" w:ascii="Times New Roman" w:hAnsi="Times New Roman" w:eastAsia="宋体" w:cs="Times New Roman"/>
                <w:sz w:val="21"/>
                <w:szCs w:val="21"/>
                <w:highlight w:val="none"/>
                <w:vertAlign w:val="baseline"/>
                <w:lang w:val="en-US" w:eastAsia="zh-CN"/>
              </w:rPr>
              <w:t>场内用油计量</w:t>
            </w:r>
          </w:p>
        </w:tc>
        <w:tc>
          <w:tcPr>
            <w:tcW w:w="265" w:type="pct"/>
            <w:vAlign w:val="center"/>
          </w:tcPr>
          <w:p w14:paraId="1BB3D548">
            <w:pPr>
              <w:shd w:val="clear"/>
              <w:snapToGrid w:val="0"/>
              <w:spacing w:line="240" w:lineRule="auto"/>
              <w:ind w:left="0" w:leftChars="0" w:right="0" w:rightChars="0" w:firstLine="0" w:firstLineChars="0"/>
              <w:jc w:val="center"/>
              <w:rPr>
                <w:rFonts w:hint="default" w:ascii="Times New Roman" w:hAnsi="Times New Roman" w:eastAsia="宋体" w:cs="Times New Roman"/>
                <w:sz w:val="21"/>
                <w:szCs w:val="21"/>
                <w:highlight w:val="none"/>
                <w:vertAlign w:val="baseline"/>
              </w:rPr>
            </w:pPr>
            <w:r>
              <w:rPr>
                <w:rFonts w:hint="eastAsia" w:ascii="Times New Roman" w:hAnsi="Times New Roman" w:eastAsia="宋体" w:cs="Times New Roman"/>
                <w:sz w:val="21"/>
                <w:szCs w:val="21"/>
                <w:highlight w:val="none"/>
                <w:vertAlign w:val="baseline"/>
                <w:lang w:val="en-US" w:eastAsia="zh-CN"/>
              </w:rPr>
              <w:t>1年</w:t>
            </w:r>
          </w:p>
        </w:tc>
        <w:tc>
          <w:tcPr>
            <w:tcW w:w="268" w:type="pct"/>
            <w:vAlign w:val="center"/>
          </w:tcPr>
          <w:p w14:paraId="0D9649AB">
            <w:pPr>
              <w:shd w:val="clear"/>
              <w:snapToGrid w:val="0"/>
              <w:spacing w:line="240" w:lineRule="auto"/>
              <w:ind w:left="0" w:leftChars="0" w:right="0" w:rightChars="0" w:firstLine="0" w:firstLineChars="0"/>
              <w:jc w:val="center"/>
              <w:rPr>
                <w:rFonts w:hint="eastAsia" w:ascii="Times New Roman" w:hAnsi="Times New Roman" w:eastAsia="宋体" w:cs="Times New Roman"/>
                <w:sz w:val="21"/>
                <w:szCs w:val="21"/>
                <w:highlight w:val="none"/>
                <w:vertAlign w:val="baseline"/>
                <w:lang w:val="en-US" w:eastAsia="zh-CN"/>
              </w:rPr>
            </w:pPr>
            <w:r>
              <w:rPr>
                <w:rFonts w:hint="eastAsia" w:ascii="Times New Roman" w:hAnsi="Times New Roman" w:eastAsia="宋体" w:cs="Times New Roman"/>
                <w:sz w:val="21"/>
                <w:szCs w:val="21"/>
                <w:highlight w:val="none"/>
                <w:vertAlign w:val="baseline"/>
                <w:lang w:val="en-US" w:eastAsia="zh-CN"/>
              </w:rPr>
              <w:t>合格</w:t>
            </w:r>
          </w:p>
        </w:tc>
        <w:tc>
          <w:tcPr>
            <w:tcW w:w="528" w:type="pct"/>
            <w:vAlign w:val="center"/>
          </w:tcPr>
          <w:p w14:paraId="4210DD20">
            <w:pPr>
              <w:shd w:val="clear"/>
              <w:snapToGrid w:val="0"/>
              <w:spacing w:line="240" w:lineRule="auto"/>
              <w:ind w:left="0" w:leftChars="0" w:right="0" w:rightChars="0" w:firstLine="0" w:firstLineChars="0"/>
              <w:jc w:val="center"/>
              <w:rPr>
                <w:rFonts w:hint="default" w:ascii="Times New Roman" w:hAnsi="Times New Roman" w:eastAsia="宋体" w:cs="Times New Roman"/>
                <w:sz w:val="21"/>
                <w:szCs w:val="21"/>
                <w:highlight w:val="none"/>
                <w:vertAlign w:val="baseline"/>
                <w:lang w:val="en-US" w:eastAsia="zh-CN"/>
              </w:rPr>
            </w:pPr>
            <w:r>
              <w:rPr>
                <w:rFonts w:hint="eastAsia" w:ascii="Times New Roman" w:hAnsi="Times New Roman" w:eastAsia="宋体" w:cs="Times New Roman"/>
                <w:sz w:val="21"/>
                <w:szCs w:val="21"/>
                <w:highlight w:val="none"/>
                <w:vertAlign w:val="baseline"/>
                <w:lang w:val="en-US" w:eastAsia="zh-CN"/>
              </w:rPr>
              <w:t>2025.6.12</w:t>
            </w:r>
          </w:p>
        </w:tc>
        <w:tc>
          <w:tcPr>
            <w:tcW w:w="188" w:type="pct"/>
            <w:vAlign w:val="center"/>
          </w:tcPr>
          <w:p w14:paraId="7E0AA318">
            <w:pPr>
              <w:shd w:val="clear"/>
              <w:snapToGrid w:val="0"/>
              <w:spacing w:line="240" w:lineRule="auto"/>
              <w:ind w:left="0" w:leftChars="0" w:right="0" w:rightChars="0" w:firstLine="0" w:firstLineChars="0"/>
              <w:jc w:val="center"/>
              <w:rPr>
                <w:rFonts w:hint="default" w:ascii="Times New Roman" w:hAnsi="Times New Roman" w:eastAsia="宋体" w:cs="Times New Roman"/>
                <w:sz w:val="21"/>
                <w:szCs w:val="21"/>
                <w:highlight w:val="none"/>
                <w:vertAlign w:val="baseline"/>
              </w:rPr>
            </w:pPr>
          </w:p>
        </w:tc>
      </w:tr>
      <w:tr w14:paraId="27B402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7" w:type="pct"/>
            <w:vAlign w:val="center"/>
          </w:tcPr>
          <w:p w14:paraId="4A40BBC7">
            <w:pPr>
              <w:shd w:val="clear"/>
              <w:snapToGrid w:val="0"/>
              <w:spacing w:line="240" w:lineRule="auto"/>
              <w:ind w:left="0" w:leftChars="0" w:right="0" w:rightChars="0" w:firstLine="0" w:firstLineChars="0"/>
              <w:jc w:val="center"/>
              <w:rPr>
                <w:rFonts w:hint="eastAsia" w:ascii="Times New Roman" w:hAnsi="Times New Roman" w:eastAsia="宋体" w:cs="Times New Roman"/>
                <w:sz w:val="21"/>
                <w:szCs w:val="21"/>
                <w:highlight w:val="none"/>
                <w:vertAlign w:val="baseline"/>
                <w:lang w:val="en-US" w:eastAsia="zh-CN"/>
              </w:rPr>
            </w:pPr>
          </w:p>
        </w:tc>
        <w:tc>
          <w:tcPr>
            <w:tcW w:w="203" w:type="pct"/>
            <w:vAlign w:val="center"/>
          </w:tcPr>
          <w:p w14:paraId="40E33598">
            <w:pPr>
              <w:shd w:val="clear"/>
              <w:snapToGrid w:val="0"/>
              <w:spacing w:line="240" w:lineRule="auto"/>
              <w:ind w:left="0" w:leftChars="0" w:right="0" w:rightChars="0" w:firstLine="0" w:firstLineChars="0"/>
              <w:jc w:val="center"/>
              <w:rPr>
                <w:rFonts w:hint="default" w:ascii="Times New Roman" w:hAnsi="Times New Roman" w:eastAsia="宋体" w:cs="Times New Roman"/>
                <w:sz w:val="21"/>
                <w:szCs w:val="21"/>
                <w:highlight w:val="none"/>
                <w:vertAlign w:val="baseline"/>
              </w:rPr>
            </w:pPr>
          </w:p>
        </w:tc>
        <w:tc>
          <w:tcPr>
            <w:tcW w:w="346" w:type="pct"/>
            <w:vAlign w:val="center"/>
          </w:tcPr>
          <w:p w14:paraId="4EEE0AC0">
            <w:pPr>
              <w:shd w:val="clear"/>
              <w:snapToGrid w:val="0"/>
              <w:spacing w:line="240" w:lineRule="auto"/>
              <w:ind w:left="0" w:leftChars="0" w:right="0" w:rightChars="0" w:firstLine="0" w:firstLineChars="0"/>
              <w:jc w:val="center"/>
              <w:rPr>
                <w:rFonts w:hint="default" w:ascii="Times New Roman" w:hAnsi="Times New Roman" w:eastAsia="宋体" w:cs="Times New Roman"/>
                <w:sz w:val="21"/>
                <w:szCs w:val="21"/>
                <w:highlight w:val="none"/>
                <w:vertAlign w:val="baseline"/>
              </w:rPr>
            </w:pPr>
          </w:p>
        </w:tc>
        <w:tc>
          <w:tcPr>
            <w:tcW w:w="485" w:type="pct"/>
            <w:vAlign w:val="center"/>
          </w:tcPr>
          <w:p w14:paraId="14B5AFFE">
            <w:pPr>
              <w:shd w:val="clear"/>
              <w:snapToGrid w:val="0"/>
              <w:spacing w:line="240" w:lineRule="auto"/>
              <w:ind w:left="0" w:leftChars="0" w:right="0" w:rightChars="0" w:firstLine="0" w:firstLineChars="0"/>
              <w:jc w:val="center"/>
              <w:rPr>
                <w:rFonts w:hint="default" w:ascii="Times New Roman" w:hAnsi="Times New Roman" w:eastAsia="宋体" w:cs="Times New Roman"/>
                <w:sz w:val="21"/>
                <w:szCs w:val="21"/>
                <w:highlight w:val="none"/>
                <w:vertAlign w:val="baseline"/>
              </w:rPr>
            </w:pPr>
          </w:p>
        </w:tc>
        <w:tc>
          <w:tcPr>
            <w:tcW w:w="282" w:type="pct"/>
            <w:vAlign w:val="center"/>
          </w:tcPr>
          <w:p w14:paraId="6E622E60">
            <w:pPr>
              <w:shd w:val="clear"/>
              <w:snapToGrid w:val="0"/>
              <w:spacing w:line="240" w:lineRule="auto"/>
              <w:ind w:left="0" w:leftChars="0" w:right="0" w:rightChars="0" w:firstLine="0" w:firstLineChars="0"/>
              <w:jc w:val="center"/>
              <w:rPr>
                <w:rFonts w:hint="default" w:ascii="Times New Roman" w:hAnsi="Times New Roman" w:eastAsia="宋体" w:cs="Times New Roman"/>
                <w:sz w:val="21"/>
                <w:szCs w:val="21"/>
                <w:highlight w:val="none"/>
                <w:vertAlign w:val="baseline"/>
              </w:rPr>
            </w:pPr>
          </w:p>
        </w:tc>
        <w:tc>
          <w:tcPr>
            <w:tcW w:w="288" w:type="pct"/>
            <w:vAlign w:val="center"/>
          </w:tcPr>
          <w:p w14:paraId="1C7A9C9C">
            <w:pPr>
              <w:shd w:val="clear"/>
              <w:snapToGrid w:val="0"/>
              <w:spacing w:line="240" w:lineRule="auto"/>
              <w:ind w:left="0" w:leftChars="0" w:right="0" w:rightChars="0" w:firstLine="0" w:firstLineChars="0"/>
              <w:jc w:val="center"/>
              <w:rPr>
                <w:rFonts w:hint="default" w:ascii="Times New Roman" w:hAnsi="Times New Roman" w:eastAsia="宋体" w:cs="Times New Roman"/>
                <w:sz w:val="21"/>
                <w:szCs w:val="21"/>
                <w:highlight w:val="none"/>
                <w:vertAlign w:val="baseline"/>
              </w:rPr>
            </w:pPr>
          </w:p>
        </w:tc>
        <w:tc>
          <w:tcPr>
            <w:tcW w:w="331" w:type="pct"/>
            <w:vAlign w:val="center"/>
          </w:tcPr>
          <w:p w14:paraId="6C5330FB">
            <w:pPr>
              <w:shd w:val="clear"/>
              <w:snapToGrid w:val="0"/>
              <w:spacing w:line="240" w:lineRule="auto"/>
              <w:ind w:left="0" w:leftChars="0" w:right="0" w:rightChars="0" w:firstLine="0" w:firstLineChars="0"/>
              <w:jc w:val="center"/>
              <w:rPr>
                <w:rFonts w:hint="default" w:ascii="Times New Roman" w:hAnsi="Times New Roman" w:eastAsia="宋体" w:cs="Times New Roman"/>
                <w:sz w:val="21"/>
                <w:szCs w:val="21"/>
                <w:highlight w:val="none"/>
                <w:vertAlign w:val="baseline"/>
              </w:rPr>
            </w:pPr>
          </w:p>
        </w:tc>
        <w:tc>
          <w:tcPr>
            <w:tcW w:w="524" w:type="pct"/>
            <w:vAlign w:val="center"/>
          </w:tcPr>
          <w:p w14:paraId="6F2DCFE0">
            <w:pPr>
              <w:shd w:val="clear"/>
              <w:snapToGrid w:val="0"/>
              <w:spacing w:line="240" w:lineRule="auto"/>
              <w:ind w:left="0" w:leftChars="0" w:right="0" w:rightChars="0" w:firstLine="0" w:firstLineChars="0"/>
              <w:jc w:val="center"/>
              <w:rPr>
                <w:rFonts w:hint="default" w:ascii="Times New Roman" w:hAnsi="Times New Roman" w:eastAsia="宋体" w:cs="Times New Roman"/>
                <w:sz w:val="21"/>
                <w:szCs w:val="21"/>
                <w:highlight w:val="none"/>
                <w:vertAlign w:val="baseline"/>
              </w:rPr>
            </w:pPr>
          </w:p>
        </w:tc>
        <w:tc>
          <w:tcPr>
            <w:tcW w:w="376" w:type="pct"/>
            <w:vAlign w:val="center"/>
          </w:tcPr>
          <w:p w14:paraId="31934DDD">
            <w:pPr>
              <w:shd w:val="clear"/>
              <w:snapToGrid w:val="0"/>
              <w:spacing w:line="240" w:lineRule="auto"/>
              <w:ind w:left="0" w:leftChars="0" w:right="0" w:rightChars="0" w:firstLine="0" w:firstLineChars="0"/>
              <w:jc w:val="center"/>
              <w:rPr>
                <w:rFonts w:hint="default" w:ascii="Times New Roman" w:hAnsi="Times New Roman" w:eastAsia="宋体" w:cs="Times New Roman"/>
                <w:sz w:val="21"/>
                <w:szCs w:val="21"/>
                <w:highlight w:val="none"/>
                <w:vertAlign w:val="baseline"/>
              </w:rPr>
            </w:pPr>
          </w:p>
        </w:tc>
        <w:tc>
          <w:tcPr>
            <w:tcW w:w="347" w:type="pct"/>
            <w:vAlign w:val="center"/>
          </w:tcPr>
          <w:p w14:paraId="1641EA31">
            <w:pPr>
              <w:shd w:val="clear"/>
              <w:snapToGrid w:val="0"/>
              <w:spacing w:line="240" w:lineRule="auto"/>
              <w:ind w:left="0" w:leftChars="0" w:right="0" w:rightChars="0" w:firstLine="0" w:firstLineChars="0"/>
              <w:jc w:val="center"/>
              <w:rPr>
                <w:rFonts w:hint="default" w:ascii="Times New Roman" w:hAnsi="Times New Roman" w:eastAsia="宋体" w:cs="Times New Roman"/>
                <w:sz w:val="21"/>
                <w:szCs w:val="21"/>
                <w:highlight w:val="none"/>
                <w:vertAlign w:val="baseline"/>
              </w:rPr>
            </w:pPr>
          </w:p>
        </w:tc>
        <w:tc>
          <w:tcPr>
            <w:tcW w:w="376" w:type="pct"/>
            <w:vAlign w:val="center"/>
          </w:tcPr>
          <w:p w14:paraId="7A584302">
            <w:pPr>
              <w:shd w:val="clear"/>
              <w:snapToGrid w:val="0"/>
              <w:spacing w:line="240" w:lineRule="auto"/>
              <w:ind w:left="0" w:leftChars="0" w:right="0" w:rightChars="0" w:firstLine="0" w:firstLineChars="0"/>
              <w:jc w:val="center"/>
              <w:rPr>
                <w:rFonts w:hint="default" w:ascii="Times New Roman" w:hAnsi="Times New Roman" w:eastAsia="宋体" w:cs="Times New Roman"/>
                <w:sz w:val="21"/>
                <w:szCs w:val="21"/>
                <w:highlight w:val="none"/>
                <w:vertAlign w:val="baseline"/>
              </w:rPr>
            </w:pPr>
          </w:p>
        </w:tc>
        <w:tc>
          <w:tcPr>
            <w:tcW w:w="265" w:type="pct"/>
            <w:vAlign w:val="center"/>
          </w:tcPr>
          <w:p w14:paraId="3297B05D">
            <w:pPr>
              <w:shd w:val="clear"/>
              <w:snapToGrid w:val="0"/>
              <w:spacing w:line="240" w:lineRule="auto"/>
              <w:ind w:left="0" w:leftChars="0" w:right="0" w:rightChars="0" w:firstLine="0" w:firstLineChars="0"/>
              <w:jc w:val="center"/>
              <w:rPr>
                <w:rFonts w:hint="default" w:ascii="Times New Roman" w:hAnsi="Times New Roman" w:eastAsia="宋体" w:cs="Times New Roman"/>
                <w:sz w:val="21"/>
                <w:szCs w:val="21"/>
                <w:highlight w:val="none"/>
                <w:vertAlign w:val="baseline"/>
              </w:rPr>
            </w:pPr>
          </w:p>
        </w:tc>
        <w:tc>
          <w:tcPr>
            <w:tcW w:w="268" w:type="pct"/>
            <w:vAlign w:val="center"/>
          </w:tcPr>
          <w:p w14:paraId="7AEACFDC">
            <w:pPr>
              <w:shd w:val="clear"/>
              <w:snapToGrid w:val="0"/>
              <w:spacing w:line="240" w:lineRule="auto"/>
              <w:ind w:left="0" w:leftChars="0" w:right="0" w:rightChars="0" w:firstLine="0" w:firstLineChars="0"/>
              <w:jc w:val="center"/>
              <w:rPr>
                <w:rFonts w:hint="default" w:ascii="Times New Roman" w:hAnsi="Times New Roman" w:eastAsia="宋体" w:cs="Times New Roman"/>
                <w:sz w:val="21"/>
                <w:szCs w:val="21"/>
                <w:highlight w:val="none"/>
                <w:vertAlign w:val="baseline"/>
              </w:rPr>
            </w:pPr>
          </w:p>
        </w:tc>
        <w:tc>
          <w:tcPr>
            <w:tcW w:w="528" w:type="pct"/>
            <w:vAlign w:val="center"/>
          </w:tcPr>
          <w:p w14:paraId="4FA472C6">
            <w:pPr>
              <w:shd w:val="clear"/>
              <w:snapToGrid w:val="0"/>
              <w:spacing w:line="240" w:lineRule="auto"/>
              <w:ind w:left="0" w:leftChars="0" w:right="0" w:rightChars="0" w:firstLine="0" w:firstLineChars="0"/>
              <w:jc w:val="center"/>
              <w:rPr>
                <w:rFonts w:hint="default" w:ascii="Times New Roman" w:hAnsi="Times New Roman" w:eastAsia="宋体" w:cs="Times New Roman"/>
                <w:sz w:val="21"/>
                <w:szCs w:val="21"/>
                <w:highlight w:val="none"/>
                <w:vertAlign w:val="baseline"/>
              </w:rPr>
            </w:pPr>
          </w:p>
        </w:tc>
        <w:tc>
          <w:tcPr>
            <w:tcW w:w="188" w:type="pct"/>
            <w:vAlign w:val="center"/>
          </w:tcPr>
          <w:p w14:paraId="056257DC">
            <w:pPr>
              <w:shd w:val="clear"/>
              <w:snapToGrid w:val="0"/>
              <w:spacing w:line="240" w:lineRule="auto"/>
              <w:ind w:left="0" w:leftChars="0" w:right="0" w:rightChars="0" w:firstLine="0" w:firstLineChars="0"/>
              <w:jc w:val="center"/>
              <w:rPr>
                <w:rFonts w:hint="default" w:ascii="Times New Roman" w:hAnsi="Times New Roman" w:eastAsia="宋体" w:cs="Times New Roman"/>
                <w:sz w:val="21"/>
                <w:szCs w:val="21"/>
                <w:highlight w:val="none"/>
                <w:vertAlign w:val="baseline"/>
              </w:rPr>
            </w:pPr>
          </w:p>
        </w:tc>
      </w:tr>
      <w:tr w14:paraId="3B72A4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7" w:type="pct"/>
            <w:vAlign w:val="center"/>
          </w:tcPr>
          <w:p w14:paraId="4E86B027">
            <w:pPr>
              <w:shd w:val="clear"/>
              <w:snapToGrid w:val="0"/>
              <w:spacing w:line="240" w:lineRule="auto"/>
              <w:ind w:left="0" w:leftChars="0" w:right="0" w:rightChars="0" w:firstLine="0" w:firstLineChars="0"/>
              <w:jc w:val="center"/>
              <w:rPr>
                <w:rFonts w:hint="default" w:ascii="Times New Roman" w:hAnsi="Times New Roman" w:eastAsia="宋体" w:cs="Times New Roman"/>
                <w:sz w:val="21"/>
                <w:szCs w:val="21"/>
                <w:highlight w:val="none"/>
                <w:vertAlign w:val="baseline"/>
              </w:rPr>
            </w:pPr>
          </w:p>
        </w:tc>
        <w:tc>
          <w:tcPr>
            <w:tcW w:w="203" w:type="pct"/>
            <w:vAlign w:val="center"/>
          </w:tcPr>
          <w:p w14:paraId="097E2A43">
            <w:pPr>
              <w:shd w:val="clear"/>
              <w:snapToGrid w:val="0"/>
              <w:spacing w:line="240" w:lineRule="auto"/>
              <w:ind w:left="0" w:leftChars="0" w:right="0" w:rightChars="0" w:firstLine="0" w:firstLineChars="0"/>
              <w:jc w:val="center"/>
              <w:rPr>
                <w:rFonts w:hint="default" w:ascii="Times New Roman" w:hAnsi="Times New Roman" w:eastAsia="宋体" w:cs="Times New Roman"/>
                <w:sz w:val="21"/>
                <w:szCs w:val="21"/>
                <w:highlight w:val="none"/>
                <w:vertAlign w:val="baseline"/>
              </w:rPr>
            </w:pPr>
          </w:p>
        </w:tc>
        <w:tc>
          <w:tcPr>
            <w:tcW w:w="346" w:type="pct"/>
            <w:vAlign w:val="center"/>
          </w:tcPr>
          <w:p w14:paraId="12D6CCCF">
            <w:pPr>
              <w:shd w:val="clear"/>
              <w:snapToGrid w:val="0"/>
              <w:spacing w:line="240" w:lineRule="auto"/>
              <w:ind w:left="0" w:leftChars="0" w:right="0" w:rightChars="0" w:firstLine="0" w:firstLineChars="0"/>
              <w:jc w:val="center"/>
              <w:rPr>
                <w:rFonts w:hint="default" w:ascii="Times New Roman" w:hAnsi="Times New Roman" w:eastAsia="宋体" w:cs="Times New Roman"/>
                <w:sz w:val="21"/>
                <w:szCs w:val="21"/>
                <w:highlight w:val="none"/>
                <w:vertAlign w:val="baseline"/>
              </w:rPr>
            </w:pPr>
          </w:p>
        </w:tc>
        <w:tc>
          <w:tcPr>
            <w:tcW w:w="485" w:type="pct"/>
            <w:vAlign w:val="center"/>
          </w:tcPr>
          <w:p w14:paraId="647A2423">
            <w:pPr>
              <w:shd w:val="clear"/>
              <w:snapToGrid w:val="0"/>
              <w:spacing w:line="240" w:lineRule="auto"/>
              <w:ind w:left="0" w:leftChars="0" w:right="0" w:rightChars="0" w:firstLine="0" w:firstLineChars="0"/>
              <w:jc w:val="center"/>
              <w:rPr>
                <w:rFonts w:hint="default" w:ascii="Times New Roman" w:hAnsi="Times New Roman" w:eastAsia="宋体" w:cs="Times New Roman"/>
                <w:sz w:val="21"/>
                <w:szCs w:val="21"/>
                <w:highlight w:val="none"/>
                <w:vertAlign w:val="baseline"/>
              </w:rPr>
            </w:pPr>
          </w:p>
        </w:tc>
        <w:tc>
          <w:tcPr>
            <w:tcW w:w="282" w:type="pct"/>
            <w:vAlign w:val="center"/>
          </w:tcPr>
          <w:p w14:paraId="0D3694CF">
            <w:pPr>
              <w:shd w:val="clear"/>
              <w:snapToGrid w:val="0"/>
              <w:spacing w:line="240" w:lineRule="auto"/>
              <w:ind w:left="0" w:leftChars="0" w:right="0" w:rightChars="0" w:firstLine="0" w:firstLineChars="0"/>
              <w:jc w:val="center"/>
              <w:rPr>
                <w:rFonts w:hint="default" w:ascii="Times New Roman" w:hAnsi="Times New Roman" w:eastAsia="宋体" w:cs="Times New Roman"/>
                <w:sz w:val="21"/>
                <w:szCs w:val="21"/>
                <w:highlight w:val="none"/>
                <w:vertAlign w:val="baseline"/>
              </w:rPr>
            </w:pPr>
          </w:p>
        </w:tc>
        <w:tc>
          <w:tcPr>
            <w:tcW w:w="288" w:type="pct"/>
            <w:vAlign w:val="center"/>
          </w:tcPr>
          <w:p w14:paraId="4C494A48">
            <w:pPr>
              <w:shd w:val="clear"/>
              <w:snapToGrid w:val="0"/>
              <w:spacing w:line="240" w:lineRule="auto"/>
              <w:ind w:left="0" w:leftChars="0" w:right="0" w:rightChars="0" w:firstLine="0" w:firstLineChars="0"/>
              <w:jc w:val="center"/>
              <w:rPr>
                <w:rFonts w:hint="default" w:ascii="Times New Roman" w:hAnsi="Times New Roman" w:eastAsia="宋体" w:cs="Times New Roman"/>
                <w:sz w:val="21"/>
                <w:szCs w:val="21"/>
                <w:highlight w:val="none"/>
                <w:vertAlign w:val="baseline"/>
              </w:rPr>
            </w:pPr>
          </w:p>
        </w:tc>
        <w:tc>
          <w:tcPr>
            <w:tcW w:w="331" w:type="pct"/>
            <w:vAlign w:val="center"/>
          </w:tcPr>
          <w:p w14:paraId="221E1BF8">
            <w:pPr>
              <w:shd w:val="clear"/>
              <w:snapToGrid w:val="0"/>
              <w:spacing w:line="240" w:lineRule="auto"/>
              <w:ind w:left="0" w:leftChars="0" w:right="0" w:rightChars="0" w:firstLine="0" w:firstLineChars="0"/>
              <w:jc w:val="center"/>
              <w:rPr>
                <w:rFonts w:hint="default" w:ascii="Times New Roman" w:hAnsi="Times New Roman" w:eastAsia="宋体" w:cs="Times New Roman"/>
                <w:sz w:val="21"/>
                <w:szCs w:val="21"/>
                <w:highlight w:val="none"/>
                <w:vertAlign w:val="baseline"/>
              </w:rPr>
            </w:pPr>
          </w:p>
        </w:tc>
        <w:tc>
          <w:tcPr>
            <w:tcW w:w="524" w:type="pct"/>
            <w:vAlign w:val="center"/>
          </w:tcPr>
          <w:p w14:paraId="1B68D69F">
            <w:pPr>
              <w:shd w:val="clear"/>
              <w:snapToGrid w:val="0"/>
              <w:spacing w:line="240" w:lineRule="auto"/>
              <w:ind w:left="0" w:leftChars="0" w:right="0" w:rightChars="0" w:firstLine="0" w:firstLineChars="0"/>
              <w:jc w:val="center"/>
              <w:rPr>
                <w:rFonts w:hint="default" w:ascii="Times New Roman" w:hAnsi="Times New Roman" w:eastAsia="宋体" w:cs="Times New Roman"/>
                <w:sz w:val="21"/>
                <w:szCs w:val="21"/>
                <w:highlight w:val="none"/>
                <w:vertAlign w:val="baseline"/>
              </w:rPr>
            </w:pPr>
          </w:p>
        </w:tc>
        <w:tc>
          <w:tcPr>
            <w:tcW w:w="376" w:type="pct"/>
            <w:vAlign w:val="center"/>
          </w:tcPr>
          <w:p w14:paraId="14AA5840">
            <w:pPr>
              <w:shd w:val="clear"/>
              <w:snapToGrid w:val="0"/>
              <w:spacing w:line="240" w:lineRule="auto"/>
              <w:ind w:left="0" w:leftChars="0" w:right="0" w:rightChars="0" w:firstLine="0" w:firstLineChars="0"/>
              <w:jc w:val="center"/>
              <w:rPr>
                <w:rFonts w:hint="default" w:ascii="Times New Roman" w:hAnsi="Times New Roman" w:eastAsia="宋体" w:cs="Times New Roman"/>
                <w:sz w:val="21"/>
                <w:szCs w:val="21"/>
                <w:highlight w:val="none"/>
                <w:vertAlign w:val="baseline"/>
              </w:rPr>
            </w:pPr>
          </w:p>
        </w:tc>
        <w:tc>
          <w:tcPr>
            <w:tcW w:w="347" w:type="pct"/>
            <w:vAlign w:val="center"/>
          </w:tcPr>
          <w:p w14:paraId="57864597">
            <w:pPr>
              <w:shd w:val="clear"/>
              <w:snapToGrid w:val="0"/>
              <w:spacing w:line="240" w:lineRule="auto"/>
              <w:ind w:left="0" w:leftChars="0" w:right="0" w:rightChars="0" w:firstLine="0" w:firstLineChars="0"/>
              <w:jc w:val="center"/>
              <w:rPr>
                <w:rFonts w:hint="default" w:ascii="Times New Roman" w:hAnsi="Times New Roman" w:eastAsia="宋体" w:cs="Times New Roman"/>
                <w:sz w:val="21"/>
                <w:szCs w:val="21"/>
                <w:highlight w:val="none"/>
                <w:vertAlign w:val="baseline"/>
              </w:rPr>
            </w:pPr>
          </w:p>
        </w:tc>
        <w:tc>
          <w:tcPr>
            <w:tcW w:w="376" w:type="pct"/>
            <w:vAlign w:val="center"/>
          </w:tcPr>
          <w:p w14:paraId="196FABAA">
            <w:pPr>
              <w:shd w:val="clear"/>
              <w:snapToGrid w:val="0"/>
              <w:spacing w:line="240" w:lineRule="auto"/>
              <w:ind w:left="0" w:leftChars="0" w:right="0" w:rightChars="0" w:firstLine="0" w:firstLineChars="0"/>
              <w:jc w:val="center"/>
              <w:rPr>
                <w:rFonts w:hint="default" w:ascii="Times New Roman" w:hAnsi="Times New Roman" w:eastAsia="宋体" w:cs="Times New Roman"/>
                <w:sz w:val="21"/>
                <w:szCs w:val="21"/>
                <w:highlight w:val="none"/>
                <w:vertAlign w:val="baseline"/>
              </w:rPr>
            </w:pPr>
          </w:p>
        </w:tc>
        <w:tc>
          <w:tcPr>
            <w:tcW w:w="265" w:type="pct"/>
            <w:vAlign w:val="center"/>
          </w:tcPr>
          <w:p w14:paraId="0EA52B84">
            <w:pPr>
              <w:shd w:val="clear"/>
              <w:snapToGrid w:val="0"/>
              <w:spacing w:line="240" w:lineRule="auto"/>
              <w:ind w:left="0" w:leftChars="0" w:right="0" w:rightChars="0" w:firstLine="0" w:firstLineChars="0"/>
              <w:jc w:val="center"/>
              <w:rPr>
                <w:rFonts w:hint="default" w:ascii="Times New Roman" w:hAnsi="Times New Roman" w:eastAsia="宋体" w:cs="Times New Roman"/>
                <w:sz w:val="21"/>
                <w:szCs w:val="21"/>
                <w:highlight w:val="none"/>
                <w:vertAlign w:val="baseline"/>
              </w:rPr>
            </w:pPr>
          </w:p>
        </w:tc>
        <w:tc>
          <w:tcPr>
            <w:tcW w:w="268" w:type="pct"/>
            <w:vAlign w:val="center"/>
          </w:tcPr>
          <w:p w14:paraId="32E6DF11">
            <w:pPr>
              <w:shd w:val="clear"/>
              <w:snapToGrid w:val="0"/>
              <w:spacing w:line="240" w:lineRule="auto"/>
              <w:ind w:left="0" w:leftChars="0" w:right="0" w:rightChars="0" w:firstLine="0" w:firstLineChars="0"/>
              <w:jc w:val="center"/>
              <w:rPr>
                <w:rFonts w:hint="default" w:ascii="Times New Roman" w:hAnsi="Times New Roman" w:eastAsia="宋体" w:cs="Times New Roman"/>
                <w:sz w:val="21"/>
                <w:szCs w:val="21"/>
                <w:highlight w:val="none"/>
                <w:vertAlign w:val="baseline"/>
              </w:rPr>
            </w:pPr>
          </w:p>
        </w:tc>
        <w:tc>
          <w:tcPr>
            <w:tcW w:w="528" w:type="pct"/>
            <w:vAlign w:val="center"/>
          </w:tcPr>
          <w:p w14:paraId="5EFF42B7">
            <w:pPr>
              <w:shd w:val="clear"/>
              <w:snapToGrid w:val="0"/>
              <w:spacing w:line="240" w:lineRule="auto"/>
              <w:ind w:left="0" w:leftChars="0" w:right="0" w:rightChars="0" w:firstLine="0" w:firstLineChars="0"/>
              <w:jc w:val="center"/>
              <w:rPr>
                <w:rFonts w:hint="default" w:ascii="Times New Roman" w:hAnsi="Times New Roman" w:eastAsia="宋体" w:cs="Times New Roman"/>
                <w:sz w:val="21"/>
                <w:szCs w:val="21"/>
                <w:highlight w:val="none"/>
                <w:vertAlign w:val="baseline"/>
              </w:rPr>
            </w:pPr>
          </w:p>
        </w:tc>
        <w:tc>
          <w:tcPr>
            <w:tcW w:w="188" w:type="pct"/>
            <w:vAlign w:val="center"/>
          </w:tcPr>
          <w:p w14:paraId="2DE70E7E">
            <w:pPr>
              <w:shd w:val="clear"/>
              <w:snapToGrid w:val="0"/>
              <w:spacing w:line="240" w:lineRule="auto"/>
              <w:ind w:left="0" w:leftChars="0" w:right="0" w:rightChars="0" w:firstLine="0" w:firstLineChars="0"/>
              <w:jc w:val="center"/>
              <w:rPr>
                <w:rFonts w:hint="default" w:ascii="Times New Roman" w:hAnsi="Times New Roman" w:eastAsia="宋体" w:cs="Times New Roman"/>
                <w:sz w:val="21"/>
                <w:szCs w:val="21"/>
                <w:highlight w:val="none"/>
                <w:vertAlign w:val="baseline"/>
              </w:rPr>
            </w:pPr>
          </w:p>
        </w:tc>
      </w:tr>
    </w:tbl>
    <w:p w14:paraId="5A15516C">
      <w:pPr>
        <w:keepNext w:val="0"/>
        <w:keepLines w:val="0"/>
        <w:pageBreakBefore w:val="0"/>
        <w:widowControl w:val="0"/>
        <w:tabs>
          <w:tab w:val="left" w:pos="3943"/>
        </w:tabs>
        <w:kinsoku/>
        <w:wordWrap/>
        <w:overflowPunct/>
        <w:topLinePunct w:val="0"/>
        <w:autoSpaceDE/>
        <w:autoSpaceDN/>
        <w:bidi w:val="0"/>
        <w:adjustRightInd/>
        <w:snapToGrid/>
        <w:spacing w:line="360" w:lineRule="auto"/>
        <w:ind w:firstLine="0" w:firstLineChars="0"/>
        <w:jc w:val="left"/>
        <w:textAlignment w:val="auto"/>
        <w:rPr>
          <w:rFonts w:hint="eastAsia" w:ascii="Times New Roman" w:hAnsi="Times New Roman" w:eastAsia="宋体" w:cs="Times New Roman"/>
          <w:b w:val="0"/>
          <w:bCs w:val="0"/>
          <w:kern w:val="2"/>
          <w:sz w:val="24"/>
          <w:szCs w:val="28"/>
          <w:highlight w:val="none"/>
          <w:lang w:val="en-US" w:eastAsia="zh-CN" w:bidi="ar-SA"/>
        </w:rPr>
      </w:pPr>
    </w:p>
    <w:p w14:paraId="12A5730E">
      <w:pPr>
        <w:keepNext w:val="0"/>
        <w:keepLines w:val="0"/>
        <w:pageBreakBefore w:val="0"/>
        <w:widowControl w:val="0"/>
        <w:tabs>
          <w:tab w:val="left" w:pos="3943"/>
        </w:tabs>
        <w:kinsoku/>
        <w:wordWrap/>
        <w:overflowPunct/>
        <w:topLinePunct w:val="0"/>
        <w:autoSpaceDE/>
        <w:autoSpaceDN/>
        <w:bidi w:val="0"/>
        <w:adjustRightInd/>
        <w:snapToGrid/>
        <w:spacing w:line="360" w:lineRule="auto"/>
        <w:ind w:firstLine="0" w:firstLineChars="0"/>
        <w:jc w:val="left"/>
        <w:textAlignment w:val="auto"/>
        <w:rPr>
          <w:rFonts w:hint="default" w:ascii="Times New Roman" w:hAnsi="Times New Roman" w:eastAsia="宋体" w:cs="Times New Roman"/>
          <w:b w:val="0"/>
          <w:bCs w:val="0"/>
          <w:kern w:val="2"/>
          <w:sz w:val="24"/>
          <w:szCs w:val="28"/>
          <w:highlight w:val="none"/>
          <w:lang w:val="en-US" w:eastAsia="zh-CN" w:bidi="ar-SA"/>
        </w:rPr>
        <w:sectPr>
          <w:pgSz w:w="16838" w:h="11906" w:orient="landscape"/>
          <w:pgMar w:top="1800" w:right="1440" w:bottom="1800" w:left="1440" w:header="851" w:footer="992" w:gutter="0"/>
          <w:pgNumType w:fmt="decimal"/>
          <w:cols w:space="425" w:num="1"/>
          <w:docGrid w:type="lines" w:linePitch="312" w:charSpace="0"/>
        </w:sectPr>
      </w:pPr>
    </w:p>
    <w:p w14:paraId="41A3E56F">
      <w:pPr>
        <w:keepNext w:val="0"/>
        <w:keepLines w:val="0"/>
        <w:pageBreakBefore w:val="0"/>
        <w:widowControl w:val="0"/>
        <w:tabs>
          <w:tab w:val="left" w:pos="3943"/>
        </w:tabs>
        <w:kinsoku/>
        <w:wordWrap/>
        <w:overflowPunct/>
        <w:topLinePunct w:val="0"/>
        <w:autoSpaceDE/>
        <w:autoSpaceDN/>
        <w:bidi w:val="0"/>
        <w:adjustRightInd/>
        <w:snapToGrid/>
        <w:spacing w:before="146" w:beforeLines="50" w:after="146" w:afterLines="50" w:line="360" w:lineRule="auto"/>
        <w:jc w:val="left"/>
        <w:textAlignment w:val="auto"/>
        <w:rPr>
          <w:rFonts w:hint="default" w:ascii="Times New Roman" w:hAnsi="Times New Roman" w:eastAsia="黑体" w:cs="Times New Roman"/>
          <w:b w:val="0"/>
          <w:bCs w:val="0"/>
          <w:kern w:val="2"/>
          <w:sz w:val="28"/>
          <w:szCs w:val="32"/>
          <w:highlight w:val="none"/>
          <w:lang w:val="en-US" w:eastAsia="zh-CN" w:bidi="ar-SA"/>
        </w:rPr>
      </w:pPr>
      <w:r>
        <w:rPr>
          <w:rFonts w:hint="eastAsia" w:ascii="Times New Roman" w:hAnsi="Times New Roman" w:eastAsia="黑体" w:cs="Times New Roman"/>
          <w:b w:val="0"/>
          <w:bCs w:val="0"/>
          <w:kern w:val="2"/>
          <w:sz w:val="28"/>
          <w:szCs w:val="32"/>
          <w:highlight w:val="none"/>
          <w:lang w:val="en-US" w:eastAsia="zh-CN" w:bidi="ar-SA"/>
        </w:rPr>
        <w:t>六</w:t>
      </w:r>
      <w:r>
        <w:rPr>
          <w:rFonts w:hint="default" w:ascii="Times New Roman" w:hAnsi="Times New Roman" w:eastAsia="黑体" w:cs="Times New Roman"/>
          <w:b w:val="0"/>
          <w:bCs w:val="0"/>
          <w:kern w:val="2"/>
          <w:sz w:val="28"/>
          <w:szCs w:val="32"/>
          <w:highlight w:val="none"/>
          <w:lang w:val="en-US" w:eastAsia="zh-CN" w:bidi="ar-SA"/>
        </w:rPr>
        <w:t>、项目附图</w:t>
      </w:r>
    </w:p>
    <w:p w14:paraId="757E98CC">
      <w:pPr>
        <w:numPr>
          <w:ilvl w:val="0"/>
          <w:numId w:val="0"/>
        </w:numPr>
        <w:ind w:leftChars="0"/>
        <w:jc w:val="center"/>
        <w:rPr>
          <w:rFonts w:hint="default" w:ascii="Times New Roman" w:hAnsi="Times New Roman" w:eastAsia="宋体" w:cs="Times New Roman"/>
          <w:b/>
          <w:color w:val="auto"/>
          <w:spacing w:val="23"/>
          <w:sz w:val="28"/>
          <w:szCs w:val="28"/>
          <w:highlight w:val="none"/>
          <w:vertAlign w:val="baseline"/>
          <w:lang w:val="en-US" w:eastAsia="zh-CN" w:bidi="en-US"/>
        </w:rPr>
      </w:pPr>
      <w:r>
        <w:rPr>
          <w:rFonts w:hint="default" w:ascii="Times New Roman" w:hAnsi="Times New Roman" w:eastAsia="宋体" w:cs="Times New Roman"/>
          <w:highlight w:val="none"/>
          <w:lang w:val="en-US" w:eastAsia="zh-CN"/>
        </w:rPr>
        <w:drawing>
          <wp:inline distT="0" distB="0" distL="114300" distR="114300">
            <wp:extent cx="3822700" cy="2160270"/>
            <wp:effectExtent l="0" t="0" r="6350" b="11430"/>
            <wp:docPr id="15" name="图片 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 descr="图片1"/>
                    <pic:cNvPicPr>
                      <a:picLocks noChangeAspect="1"/>
                    </pic:cNvPicPr>
                  </pic:nvPicPr>
                  <pic:blipFill>
                    <a:blip r:embed="rId9"/>
                    <a:stretch>
                      <a:fillRect/>
                    </a:stretch>
                  </pic:blipFill>
                  <pic:spPr>
                    <a:xfrm>
                      <a:off x="0" y="0"/>
                      <a:ext cx="3822700" cy="2160270"/>
                    </a:xfrm>
                    <a:prstGeom prst="rect">
                      <a:avLst/>
                    </a:prstGeom>
                    <a:noFill/>
                    <a:ln>
                      <a:noFill/>
                    </a:ln>
                  </pic:spPr>
                </pic:pic>
              </a:graphicData>
            </a:graphic>
          </wp:inline>
        </w:drawing>
      </w:r>
      <w:r>
        <w:rPr>
          <w:rFonts w:hint="default" w:ascii="Times New Roman" w:hAnsi="Times New Roman" w:eastAsia="宋体" w:cs="Times New Roman"/>
          <w:b/>
          <w:color w:val="auto"/>
          <w:spacing w:val="23"/>
          <w:sz w:val="28"/>
          <w:szCs w:val="28"/>
          <w:highlight w:val="none"/>
          <w:vertAlign w:val="baseline"/>
          <w:lang w:val="en-US" w:eastAsia="zh-CN" w:bidi="en-US"/>
        </w:rPr>
        <w:drawing>
          <wp:inline distT="0" distB="0" distL="114300" distR="114300">
            <wp:extent cx="3839845" cy="2160270"/>
            <wp:effectExtent l="0" t="0" r="8255" b="11430"/>
            <wp:docPr id="16" name="图片 16" descr="98401c0b9689cc6facc6378183b7e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98401c0b9689cc6facc6378183b7e59"/>
                    <pic:cNvPicPr>
                      <a:picLocks noChangeAspect="1"/>
                    </pic:cNvPicPr>
                  </pic:nvPicPr>
                  <pic:blipFill>
                    <a:blip r:embed="rId10"/>
                    <a:stretch>
                      <a:fillRect/>
                    </a:stretch>
                  </pic:blipFill>
                  <pic:spPr>
                    <a:xfrm>
                      <a:off x="0" y="0"/>
                      <a:ext cx="3839845" cy="2160270"/>
                    </a:xfrm>
                    <a:prstGeom prst="rect">
                      <a:avLst/>
                    </a:prstGeom>
                  </pic:spPr>
                </pic:pic>
              </a:graphicData>
            </a:graphic>
          </wp:inline>
        </w:drawing>
      </w:r>
      <w:r>
        <w:rPr>
          <w:rFonts w:hint="default" w:ascii="Times New Roman" w:hAnsi="Times New Roman" w:eastAsia="宋体" w:cs="Times New Roman"/>
          <w:b/>
          <w:color w:val="auto"/>
          <w:spacing w:val="23"/>
          <w:sz w:val="28"/>
          <w:szCs w:val="28"/>
          <w:highlight w:val="none"/>
          <w:vertAlign w:val="baseline"/>
          <w:lang w:val="en-US" w:eastAsia="zh-CN" w:bidi="en-US"/>
        </w:rPr>
        <w:drawing>
          <wp:inline distT="0" distB="0" distL="114300" distR="114300">
            <wp:extent cx="3839845" cy="2160270"/>
            <wp:effectExtent l="0" t="0" r="8255" b="11430"/>
            <wp:docPr id="17" name="图片 17" descr="705e5346ab8e143a740ce013cda2f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705e5346ab8e143a740ce013cda2fad"/>
                    <pic:cNvPicPr>
                      <a:picLocks noChangeAspect="1"/>
                    </pic:cNvPicPr>
                  </pic:nvPicPr>
                  <pic:blipFill>
                    <a:blip r:embed="rId11"/>
                    <a:stretch>
                      <a:fillRect/>
                    </a:stretch>
                  </pic:blipFill>
                  <pic:spPr>
                    <a:xfrm>
                      <a:off x="0" y="0"/>
                      <a:ext cx="3839845" cy="2160270"/>
                    </a:xfrm>
                    <a:prstGeom prst="rect">
                      <a:avLst/>
                    </a:prstGeom>
                  </pic:spPr>
                </pic:pic>
              </a:graphicData>
            </a:graphic>
          </wp:inline>
        </w:drawing>
      </w:r>
      <w:r>
        <w:rPr>
          <w:rFonts w:hint="default" w:ascii="Times New Roman" w:hAnsi="Times New Roman" w:eastAsia="宋体" w:cs="Times New Roman"/>
          <w:b/>
          <w:color w:val="auto"/>
          <w:spacing w:val="23"/>
          <w:sz w:val="28"/>
          <w:szCs w:val="28"/>
          <w:highlight w:val="none"/>
          <w:vertAlign w:val="baseline"/>
          <w:lang w:val="en-US" w:eastAsia="zh-CN" w:bidi="en-US"/>
        </w:rPr>
        <w:drawing>
          <wp:inline distT="0" distB="0" distL="114300" distR="114300">
            <wp:extent cx="3839845" cy="2160270"/>
            <wp:effectExtent l="0" t="0" r="8255" b="11430"/>
            <wp:docPr id="18" name="图片 18" descr="2924383de7e7b369cfdc838635a9f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2924383de7e7b369cfdc838635a9f74"/>
                    <pic:cNvPicPr>
                      <a:picLocks noChangeAspect="1"/>
                    </pic:cNvPicPr>
                  </pic:nvPicPr>
                  <pic:blipFill>
                    <a:blip r:embed="rId12"/>
                    <a:stretch>
                      <a:fillRect/>
                    </a:stretch>
                  </pic:blipFill>
                  <pic:spPr>
                    <a:xfrm>
                      <a:off x="0" y="0"/>
                      <a:ext cx="3839845" cy="2160270"/>
                    </a:xfrm>
                    <a:prstGeom prst="rect">
                      <a:avLst/>
                    </a:prstGeom>
                  </pic:spPr>
                </pic:pic>
              </a:graphicData>
            </a:graphic>
          </wp:inline>
        </w:drawing>
      </w:r>
    </w:p>
    <w:p w14:paraId="4A25DCF8">
      <w:pPr>
        <w:numPr>
          <w:ilvl w:val="0"/>
          <w:numId w:val="0"/>
        </w:numPr>
        <w:ind w:leftChars="0"/>
        <w:jc w:val="center"/>
        <w:rPr>
          <w:rFonts w:hint="default" w:ascii="Times New Roman" w:hAnsi="Times New Roman" w:eastAsia="宋体" w:cs="Times New Roman"/>
          <w:b w:val="0"/>
          <w:bCs/>
          <w:color w:val="auto"/>
          <w:spacing w:val="23"/>
          <w:sz w:val="28"/>
          <w:szCs w:val="28"/>
          <w:highlight w:val="none"/>
          <w:vertAlign w:val="baseline"/>
          <w:lang w:val="en-US" w:eastAsia="zh-CN" w:bidi="en-US"/>
        </w:rPr>
      </w:pPr>
      <w:r>
        <w:rPr>
          <w:rFonts w:hint="default" w:ascii="Times New Roman" w:hAnsi="Times New Roman" w:eastAsia="宋体" w:cs="Times New Roman"/>
          <w:b w:val="0"/>
          <w:bCs/>
          <w:color w:val="auto"/>
          <w:spacing w:val="23"/>
          <w:sz w:val="28"/>
          <w:szCs w:val="28"/>
          <w:highlight w:val="none"/>
          <w:vertAlign w:val="baseline"/>
          <w:lang w:val="en-US" w:eastAsia="zh-CN" w:bidi="en-US"/>
        </w:rPr>
        <w:drawing>
          <wp:inline distT="0" distB="0" distL="114300" distR="114300">
            <wp:extent cx="3840480" cy="2160270"/>
            <wp:effectExtent l="0" t="0" r="7620" b="11430"/>
            <wp:docPr id="8" name="图片 8" descr="智能电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智能电表"/>
                    <pic:cNvPicPr>
                      <a:picLocks noChangeAspect="1"/>
                    </pic:cNvPicPr>
                  </pic:nvPicPr>
                  <pic:blipFill>
                    <a:blip r:embed="rId13"/>
                    <a:stretch>
                      <a:fillRect/>
                    </a:stretch>
                  </pic:blipFill>
                  <pic:spPr>
                    <a:xfrm>
                      <a:off x="0" y="0"/>
                      <a:ext cx="3840480" cy="2160270"/>
                    </a:xfrm>
                    <a:prstGeom prst="rect">
                      <a:avLst/>
                    </a:prstGeom>
                  </pic:spPr>
                </pic:pic>
              </a:graphicData>
            </a:graphic>
          </wp:inline>
        </w:drawing>
      </w:r>
      <w:r>
        <w:rPr>
          <w:rFonts w:hint="default" w:ascii="Times New Roman" w:hAnsi="Times New Roman" w:eastAsia="宋体" w:cs="Times New Roman"/>
          <w:b w:val="0"/>
          <w:bCs/>
          <w:color w:val="auto"/>
          <w:spacing w:val="23"/>
          <w:sz w:val="28"/>
          <w:szCs w:val="28"/>
          <w:highlight w:val="none"/>
          <w:vertAlign w:val="baseline"/>
          <w:lang w:val="en-US" w:eastAsia="zh-CN" w:bidi="en-US"/>
        </w:rPr>
        <w:drawing>
          <wp:inline distT="0" distB="0" distL="114300" distR="114300">
            <wp:extent cx="3840480" cy="2160270"/>
            <wp:effectExtent l="0" t="0" r="7620" b="11430"/>
            <wp:docPr id="9" name="图片 9" descr="首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首页"/>
                    <pic:cNvPicPr>
                      <a:picLocks noChangeAspect="1"/>
                    </pic:cNvPicPr>
                  </pic:nvPicPr>
                  <pic:blipFill>
                    <a:blip r:embed="rId14"/>
                    <a:stretch>
                      <a:fillRect/>
                    </a:stretch>
                  </pic:blipFill>
                  <pic:spPr>
                    <a:xfrm>
                      <a:off x="0" y="0"/>
                      <a:ext cx="3840480" cy="2160270"/>
                    </a:xfrm>
                    <a:prstGeom prst="rect">
                      <a:avLst/>
                    </a:prstGeom>
                  </pic:spPr>
                </pic:pic>
              </a:graphicData>
            </a:graphic>
          </wp:inline>
        </w:drawing>
      </w:r>
      <w:r>
        <w:rPr>
          <w:rFonts w:hint="default" w:ascii="Times New Roman" w:hAnsi="Times New Roman" w:eastAsia="宋体" w:cs="Times New Roman"/>
          <w:b w:val="0"/>
          <w:bCs/>
          <w:color w:val="auto"/>
          <w:spacing w:val="23"/>
          <w:sz w:val="28"/>
          <w:szCs w:val="28"/>
          <w:highlight w:val="none"/>
          <w:vertAlign w:val="baseline"/>
          <w:lang w:val="en-US" w:eastAsia="zh-CN" w:bidi="en-US"/>
        </w:rPr>
        <w:drawing>
          <wp:inline distT="0" distB="0" distL="114300" distR="114300">
            <wp:extent cx="3840480" cy="2160270"/>
            <wp:effectExtent l="0" t="0" r="7620" b="11430"/>
            <wp:docPr id="10" name="图片 10" descr="设备管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设备管理"/>
                    <pic:cNvPicPr>
                      <a:picLocks noChangeAspect="1"/>
                    </pic:cNvPicPr>
                  </pic:nvPicPr>
                  <pic:blipFill>
                    <a:blip r:embed="rId15"/>
                    <a:stretch>
                      <a:fillRect/>
                    </a:stretch>
                  </pic:blipFill>
                  <pic:spPr>
                    <a:xfrm>
                      <a:off x="0" y="0"/>
                      <a:ext cx="3840480" cy="2160270"/>
                    </a:xfrm>
                    <a:prstGeom prst="rect">
                      <a:avLst/>
                    </a:prstGeom>
                  </pic:spPr>
                </pic:pic>
              </a:graphicData>
            </a:graphic>
          </wp:inline>
        </w:drawing>
      </w:r>
      <w:r>
        <w:rPr>
          <w:rFonts w:hint="default" w:ascii="Times New Roman" w:hAnsi="Times New Roman" w:eastAsia="宋体" w:cs="Times New Roman"/>
          <w:b w:val="0"/>
          <w:bCs/>
          <w:color w:val="auto"/>
          <w:spacing w:val="23"/>
          <w:sz w:val="28"/>
          <w:szCs w:val="28"/>
          <w:highlight w:val="none"/>
          <w:vertAlign w:val="baseline"/>
          <w:lang w:val="en-US" w:eastAsia="zh-CN" w:bidi="en-US"/>
        </w:rPr>
        <w:drawing>
          <wp:inline distT="0" distB="0" distL="114300" distR="114300">
            <wp:extent cx="3848735" cy="2160270"/>
            <wp:effectExtent l="0" t="0" r="0" b="0"/>
            <wp:docPr id="11" name="图片 11" descr="绿色施工（智能水表、智能电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绿色施工（智能水表、智能电表）"/>
                    <pic:cNvPicPr>
                      <a:picLocks noChangeAspect="1"/>
                    </pic:cNvPicPr>
                  </pic:nvPicPr>
                  <pic:blipFill>
                    <a:blip r:embed="rId16"/>
                    <a:srcRect l="7435" r="9424"/>
                    <a:stretch>
                      <a:fillRect/>
                    </a:stretch>
                  </pic:blipFill>
                  <pic:spPr>
                    <a:xfrm>
                      <a:off x="0" y="0"/>
                      <a:ext cx="3848735" cy="2160270"/>
                    </a:xfrm>
                    <a:prstGeom prst="rect">
                      <a:avLst/>
                    </a:prstGeom>
                  </pic:spPr>
                </pic:pic>
              </a:graphicData>
            </a:graphic>
          </wp:inline>
        </w:drawing>
      </w:r>
      <w:r>
        <w:rPr>
          <w:rFonts w:hint="default" w:ascii="Times New Roman" w:hAnsi="Times New Roman" w:eastAsia="宋体" w:cs="Times New Roman"/>
          <w:b w:val="0"/>
          <w:bCs/>
          <w:color w:val="auto"/>
          <w:spacing w:val="23"/>
          <w:sz w:val="28"/>
          <w:szCs w:val="28"/>
          <w:highlight w:val="none"/>
          <w:vertAlign w:val="baseline"/>
          <w:lang w:val="en-US" w:eastAsia="zh-CN" w:bidi="en-US"/>
        </w:rPr>
        <w:drawing>
          <wp:inline distT="0" distB="0" distL="114300" distR="114300">
            <wp:extent cx="3840480" cy="2160270"/>
            <wp:effectExtent l="0" t="0" r="7620" b="11430"/>
            <wp:docPr id="12" name="图片 12" descr="环境监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环境监控"/>
                    <pic:cNvPicPr>
                      <a:picLocks noChangeAspect="1"/>
                    </pic:cNvPicPr>
                  </pic:nvPicPr>
                  <pic:blipFill>
                    <a:blip r:embed="rId17"/>
                    <a:stretch>
                      <a:fillRect/>
                    </a:stretch>
                  </pic:blipFill>
                  <pic:spPr>
                    <a:xfrm>
                      <a:off x="0" y="0"/>
                      <a:ext cx="3840480" cy="2160270"/>
                    </a:xfrm>
                    <a:prstGeom prst="rect">
                      <a:avLst/>
                    </a:prstGeom>
                  </pic:spPr>
                </pic:pic>
              </a:graphicData>
            </a:graphic>
          </wp:inline>
        </w:drawing>
      </w:r>
      <w:r>
        <w:rPr>
          <w:rFonts w:hint="default" w:ascii="Times New Roman" w:hAnsi="Times New Roman" w:eastAsia="宋体" w:cs="Times New Roman"/>
          <w:b w:val="0"/>
          <w:bCs/>
          <w:color w:val="auto"/>
          <w:spacing w:val="23"/>
          <w:sz w:val="28"/>
          <w:szCs w:val="28"/>
          <w:highlight w:val="none"/>
          <w:vertAlign w:val="baseline"/>
          <w:lang w:val="en-US" w:eastAsia="zh-CN" w:bidi="en-US"/>
        </w:rPr>
        <w:drawing>
          <wp:inline distT="0" distB="0" distL="114300" distR="114300">
            <wp:extent cx="3840480" cy="2160270"/>
            <wp:effectExtent l="0" t="0" r="7620" b="11430"/>
            <wp:docPr id="14" name="图片 14" descr="智能水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智能水表"/>
                    <pic:cNvPicPr>
                      <a:picLocks noChangeAspect="1"/>
                    </pic:cNvPicPr>
                  </pic:nvPicPr>
                  <pic:blipFill>
                    <a:blip r:embed="rId18"/>
                    <a:stretch>
                      <a:fillRect/>
                    </a:stretch>
                  </pic:blipFill>
                  <pic:spPr>
                    <a:xfrm>
                      <a:off x="0" y="0"/>
                      <a:ext cx="3840480" cy="2160270"/>
                    </a:xfrm>
                    <a:prstGeom prst="rect">
                      <a:avLst/>
                    </a:prstGeom>
                  </pic:spPr>
                </pic:pic>
              </a:graphicData>
            </a:graphic>
          </wp:inline>
        </w:drawing>
      </w:r>
    </w:p>
    <w:p w14:paraId="73F2A857">
      <w:pPr>
        <w:numPr>
          <w:ilvl w:val="0"/>
          <w:numId w:val="0"/>
        </w:numPr>
        <w:ind w:leftChars="0"/>
        <w:jc w:val="center"/>
        <w:rPr>
          <w:rFonts w:hint="default" w:ascii="Times New Roman" w:hAnsi="Times New Roman" w:eastAsia="宋体" w:cs="Times New Roman"/>
          <w:b w:val="0"/>
          <w:bCs/>
          <w:color w:val="auto"/>
          <w:spacing w:val="23"/>
          <w:sz w:val="28"/>
          <w:szCs w:val="28"/>
          <w:highlight w:val="none"/>
          <w:vertAlign w:val="baseline"/>
          <w:lang w:val="en-US" w:eastAsia="zh-CN" w:bidi="en-US"/>
        </w:rPr>
      </w:pPr>
      <w:r>
        <w:rPr>
          <w:rFonts w:hint="default" w:ascii="Times New Roman" w:hAnsi="Times New Roman" w:cs="Times New Roman"/>
          <w:highlight w:val="none"/>
        </w:rPr>
        <w:drawing>
          <wp:inline distT="0" distB="0" distL="114300" distR="114300">
            <wp:extent cx="2051685" cy="2925445"/>
            <wp:effectExtent l="0" t="0" r="5715" b="8255"/>
            <wp:docPr id="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
                    <pic:cNvPicPr>
                      <a:picLocks noChangeAspect="1"/>
                    </pic:cNvPicPr>
                  </pic:nvPicPr>
                  <pic:blipFill>
                    <a:blip r:embed="rId19"/>
                    <a:stretch>
                      <a:fillRect/>
                    </a:stretch>
                  </pic:blipFill>
                  <pic:spPr>
                    <a:xfrm>
                      <a:off x="0" y="0"/>
                      <a:ext cx="2051685" cy="2925445"/>
                    </a:xfrm>
                    <a:prstGeom prst="rect">
                      <a:avLst/>
                    </a:prstGeom>
                    <a:noFill/>
                    <a:ln>
                      <a:noFill/>
                    </a:ln>
                  </pic:spPr>
                </pic:pic>
              </a:graphicData>
            </a:graphic>
          </wp:inline>
        </w:drawing>
      </w:r>
      <w:r>
        <w:rPr>
          <w:rFonts w:hint="default" w:ascii="Times New Roman" w:hAnsi="Times New Roman" w:cs="Times New Roman"/>
          <w:highlight w:val="none"/>
          <w:lang w:val="en-US" w:eastAsia="zh-CN"/>
        </w:rPr>
        <w:t xml:space="preserve">          </w:t>
      </w:r>
      <w:r>
        <w:rPr>
          <w:rFonts w:hint="default" w:ascii="Times New Roman" w:hAnsi="Times New Roman" w:cs="Times New Roman"/>
          <w:highlight w:val="none"/>
        </w:rPr>
        <w:drawing>
          <wp:inline distT="0" distB="0" distL="114300" distR="114300">
            <wp:extent cx="2051685" cy="2921000"/>
            <wp:effectExtent l="0" t="0" r="5715" b="12700"/>
            <wp:docPr id="2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
                    <pic:cNvPicPr>
                      <a:picLocks noChangeAspect="1"/>
                    </pic:cNvPicPr>
                  </pic:nvPicPr>
                  <pic:blipFill>
                    <a:blip r:embed="rId20"/>
                    <a:stretch>
                      <a:fillRect/>
                    </a:stretch>
                  </pic:blipFill>
                  <pic:spPr>
                    <a:xfrm>
                      <a:off x="0" y="0"/>
                      <a:ext cx="2051685" cy="2921000"/>
                    </a:xfrm>
                    <a:prstGeom prst="rect">
                      <a:avLst/>
                    </a:prstGeom>
                    <a:noFill/>
                    <a:ln>
                      <a:noFill/>
                    </a:ln>
                  </pic:spPr>
                </pic:pic>
              </a:graphicData>
            </a:graphic>
          </wp:inline>
        </w:drawing>
      </w:r>
      <w:r>
        <w:rPr>
          <w:rFonts w:hint="default" w:ascii="Times New Roman" w:hAnsi="Times New Roman" w:cs="Times New Roman"/>
          <w:highlight w:val="none"/>
          <w:lang w:val="en-US" w:eastAsia="zh-CN"/>
        </w:rPr>
        <w:t xml:space="preserve">          </w:t>
      </w:r>
      <w:r>
        <w:rPr>
          <w:rFonts w:hint="default" w:ascii="Times New Roman" w:hAnsi="Times New Roman" w:cs="Times New Roman"/>
          <w:highlight w:val="none"/>
        </w:rPr>
        <w:drawing>
          <wp:inline distT="0" distB="0" distL="114300" distR="114300">
            <wp:extent cx="2051685" cy="2883535"/>
            <wp:effectExtent l="0" t="0" r="5715" b="12065"/>
            <wp:docPr id="2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3"/>
                    <pic:cNvPicPr>
                      <a:picLocks noChangeAspect="1"/>
                    </pic:cNvPicPr>
                  </pic:nvPicPr>
                  <pic:blipFill>
                    <a:blip r:embed="rId21"/>
                    <a:stretch>
                      <a:fillRect/>
                    </a:stretch>
                  </pic:blipFill>
                  <pic:spPr>
                    <a:xfrm>
                      <a:off x="0" y="0"/>
                      <a:ext cx="2051685" cy="2883535"/>
                    </a:xfrm>
                    <a:prstGeom prst="rect">
                      <a:avLst/>
                    </a:prstGeom>
                    <a:noFill/>
                    <a:ln>
                      <a:noFill/>
                    </a:ln>
                  </pic:spPr>
                </pic:pic>
              </a:graphicData>
            </a:graphic>
          </wp:inline>
        </w:drawing>
      </w:r>
      <w:r>
        <w:rPr>
          <w:rFonts w:hint="default" w:ascii="Times New Roman" w:hAnsi="Times New Roman" w:cs="Times New Roman"/>
          <w:highlight w:val="none"/>
        </w:rPr>
        <w:drawing>
          <wp:inline distT="0" distB="0" distL="114300" distR="114300">
            <wp:extent cx="3599815" cy="2540635"/>
            <wp:effectExtent l="0" t="0" r="635" b="12065"/>
            <wp:docPr id="2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4"/>
                    <pic:cNvPicPr>
                      <a:picLocks noChangeAspect="1"/>
                    </pic:cNvPicPr>
                  </pic:nvPicPr>
                  <pic:blipFill>
                    <a:blip r:embed="rId22"/>
                    <a:stretch>
                      <a:fillRect/>
                    </a:stretch>
                  </pic:blipFill>
                  <pic:spPr>
                    <a:xfrm>
                      <a:off x="0" y="0"/>
                      <a:ext cx="3599815" cy="2540635"/>
                    </a:xfrm>
                    <a:prstGeom prst="rect">
                      <a:avLst/>
                    </a:prstGeom>
                    <a:noFill/>
                    <a:ln>
                      <a:noFill/>
                    </a:ln>
                  </pic:spPr>
                </pic:pic>
              </a:graphicData>
            </a:graphic>
          </wp:inline>
        </w:drawing>
      </w:r>
      <w:r>
        <w:rPr>
          <w:rFonts w:hint="default" w:ascii="Times New Roman" w:hAnsi="Times New Roman" w:cs="Times New Roman"/>
          <w:highlight w:val="none"/>
          <w:lang w:val="en-US" w:eastAsia="zh-CN"/>
        </w:rPr>
        <w:t xml:space="preserve">     </w:t>
      </w:r>
      <w:r>
        <w:rPr>
          <w:rFonts w:hint="default" w:ascii="Times New Roman" w:hAnsi="Times New Roman" w:cs="Times New Roman"/>
          <w:highlight w:val="none"/>
        </w:rPr>
        <w:drawing>
          <wp:inline distT="0" distB="0" distL="114300" distR="114300">
            <wp:extent cx="3599815" cy="2527935"/>
            <wp:effectExtent l="0" t="0" r="635" b="5715"/>
            <wp:docPr id="2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5"/>
                    <pic:cNvPicPr>
                      <a:picLocks noChangeAspect="1"/>
                    </pic:cNvPicPr>
                  </pic:nvPicPr>
                  <pic:blipFill>
                    <a:blip r:embed="rId23"/>
                    <a:stretch>
                      <a:fillRect/>
                    </a:stretch>
                  </pic:blipFill>
                  <pic:spPr>
                    <a:xfrm>
                      <a:off x="0" y="0"/>
                      <a:ext cx="3599815" cy="2527935"/>
                    </a:xfrm>
                    <a:prstGeom prst="rect">
                      <a:avLst/>
                    </a:prstGeom>
                    <a:noFill/>
                    <a:ln>
                      <a:noFill/>
                    </a:ln>
                  </pic:spPr>
                </pic:pic>
              </a:graphicData>
            </a:graphic>
          </wp:inline>
        </w:drawing>
      </w:r>
      <w:r>
        <w:rPr>
          <w:rFonts w:hint="default" w:ascii="Times New Roman" w:hAnsi="Times New Roman" w:cs="Times New Roman"/>
          <w:highlight w:val="none"/>
        </w:rPr>
        <w:drawing>
          <wp:inline distT="0" distB="0" distL="114300" distR="114300">
            <wp:extent cx="3599815" cy="2540000"/>
            <wp:effectExtent l="0" t="0" r="635" b="12700"/>
            <wp:docPr id="2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6"/>
                    <pic:cNvPicPr>
                      <a:picLocks noChangeAspect="1"/>
                    </pic:cNvPicPr>
                  </pic:nvPicPr>
                  <pic:blipFill>
                    <a:blip r:embed="rId24"/>
                    <a:stretch>
                      <a:fillRect/>
                    </a:stretch>
                  </pic:blipFill>
                  <pic:spPr>
                    <a:xfrm>
                      <a:off x="0" y="0"/>
                      <a:ext cx="3599815" cy="2540000"/>
                    </a:xfrm>
                    <a:prstGeom prst="rect">
                      <a:avLst/>
                    </a:prstGeom>
                    <a:noFill/>
                    <a:ln>
                      <a:noFill/>
                    </a:ln>
                  </pic:spPr>
                </pic:pic>
              </a:graphicData>
            </a:graphic>
          </wp:inline>
        </w:drawing>
      </w:r>
      <w:r>
        <w:rPr>
          <w:rFonts w:hint="default" w:ascii="Times New Roman" w:hAnsi="Times New Roman" w:cs="Times New Roman"/>
          <w:highlight w:val="none"/>
          <w:lang w:val="en-US" w:eastAsia="zh-CN"/>
        </w:rPr>
        <w:t xml:space="preserve">     </w:t>
      </w:r>
      <w:r>
        <w:rPr>
          <w:rFonts w:hint="default" w:ascii="Times New Roman" w:hAnsi="Times New Roman" w:cs="Times New Roman"/>
          <w:highlight w:val="none"/>
        </w:rPr>
        <w:drawing>
          <wp:inline distT="0" distB="0" distL="114300" distR="114300">
            <wp:extent cx="3599815" cy="2520950"/>
            <wp:effectExtent l="0" t="0" r="635" b="12700"/>
            <wp:docPr id="2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7"/>
                    <pic:cNvPicPr>
                      <a:picLocks noChangeAspect="1"/>
                    </pic:cNvPicPr>
                  </pic:nvPicPr>
                  <pic:blipFill>
                    <a:blip r:embed="rId25"/>
                    <a:stretch>
                      <a:fillRect/>
                    </a:stretch>
                  </pic:blipFill>
                  <pic:spPr>
                    <a:xfrm>
                      <a:off x="0" y="0"/>
                      <a:ext cx="3599815" cy="2520950"/>
                    </a:xfrm>
                    <a:prstGeom prst="rect">
                      <a:avLst/>
                    </a:prstGeom>
                    <a:noFill/>
                    <a:ln>
                      <a:noFill/>
                    </a:ln>
                  </pic:spPr>
                </pic:pic>
              </a:graphicData>
            </a:graphic>
          </wp:inline>
        </w:drawing>
      </w:r>
    </w:p>
    <w:sectPr>
      <w:pgSz w:w="16838" w:h="11906" w:orient="landscape"/>
      <w:pgMar w:top="1800" w:right="1440" w:bottom="1800" w:left="1440"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46FAF08D-C08C-4B93-A3B1-A818BA037C3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方正公文小标宋">
    <w:panose1 w:val="02000500000000000000"/>
    <w:charset w:val="86"/>
    <w:family w:val="auto"/>
    <w:pitch w:val="default"/>
    <w:sig w:usb0="A00002BF" w:usb1="38CF7CFA" w:usb2="00000016" w:usb3="00000000" w:csb0="00040001" w:csb1="00000000"/>
    <w:embedRegular r:id="rId2" w:fontKey="{E818EB01-10DB-4564-A0D2-9635DA6B7210}"/>
  </w:font>
  <w:font w:name="Segoe UI">
    <w:panose1 w:val="020B0502040204020203"/>
    <w:charset w:val="00"/>
    <w:family w:val="auto"/>
    <w:pitch w:val="default"/>
    <w:sig w:usb0="E4002EFF" w:usb1="C000E47F" w:usb2="00000009" w:usb3="00000000" w:csb0="200001FF" w:csb1="00000000"/>
    <w:embedRegular r:id="rId3" w:fontKey="{D344EB70-CF50-4970-8B5E-9B7C84D3D4DD}"/>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073A1C5">
    <w:pPr>
      <w:pStyle w:val="2"/>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6" name="文本框 2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59FDD4D">
                          <w:pPr>
                            <w:pStyle w:val="2"/>
                          </w:pPr>
                          <w:r>
                            <w:t xml:space="preserve">第 </w:t>
                          </w:r>
                          <w:r>
                            <w:fldChar w:fldCharType="begin"/>
                          </w:r>
                          <w:r>
                            <w:instrText xml:space="preserve"> PAGE  \* MERGEFORMAT </w:instrText>
                          </w:r>
                          <w:r>
                            <w:fldChar w:fldCharType="separate"/>
                          </w:r>
                          <w:r>
                            <w:t>2</w:t>
                          </w:r>
                          <w:r>
                            <w:fldChar w:fldCharType="end"/>
                          </w:r>
                          <w:r>
                            <w:t xml:space="preserve"> 页 共 </w:t>
                          </w:r>
                          <w:r>
                            <w:rPr>
                              <w:rFonts w:hint="eastAsia"/>
                              <w:lang w:val="en-US" w:eastAsia="zh-CN"/>
                            </w:rPr>
                            <w:t>20</w:t>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uMeuoyAgAAYw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m4x66jICAABjBAAADgAAAAAAAAABACAAAAAfAQAAZHJzL2Uyb0RvYy54bWxQSwUG&#10;AAAAAAYABgBZAQAAwwUAAAAA&#10;">
              <v:fill on="f" focussize="0,0"/>
              <v:stroke on="f" weight="0.5pt"/>
              <v:imagedata o:title=""/>
              <o:lock v:ext="edit" aspectratio="f"/>
              <v:textbox inset="0mm,0mm,0mm,0mm" style="mso-fit-shape-to-text:t;">
                <w:txbxContent>
                  <w:p w14:paraId="159FDD4D">
                    <w:pPr>
                      <w:pStyle w:val="2"/>
                    </w:pPr>
                    <w:r>
                      <w:t xml:space="preserve">第 </w:t>
                    </w:r>
                    <w:r>
                      <w:fldChar w:fldCharType="begin"/>
                    </w:r>
                    <w:r>
                      <w:instrText xml:space="preserve"> PAGE  \* MERGEFORMAT </w:instrText>
                    </w:r>
                    <w:r>
                      <w:fldChar w:fldCharType="separate"/>
                    </w:r>
                    <w:r>
                      <w:t>2</w:t>
                    </w:r>
                    <w:r>
                      <w:fldChar w:fldCharType="end"/>
                    </w:r>
                    <w:r>
                      <w:t xml:space="preserve"> 页 共 </w:t>
                    </w:r>
                    <w:r>
                      <w:rPr>
                        <w:rFonts w:hint="eastAsia"/>
                        <w:lang w:val="en-US" w:eastAsia="zh-CN"/>
                      </w:rPr>
                      <w:t>20</w:t>
                    </w:r>
                    <w:r>
                      <w:t xml:space="preserve"> 页</w:t>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C3CEBE">
    <w:pPr>
      <w:pStyle w:val="2"/>
      <w:rPr>
        <w:rFonts w:hint="eastAsia"/>
      </w:rPr>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27" name="文本框 2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5547779">
                          <w:pPr>
                            <w:pStyle w:val="2"/>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19</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kk7QUzAgAAYwQAAA4AAABkcnMvZTJvRG9jLnhtbK1UzY7TMBC+I/EO&#10;lu80aRFL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Nkk7QUzAgAAYwQAAA4AAAAAAAAAAQAgAAAAHwEAAGRycy9lMm9Eb2MueG1sUEsF&#10;BgAAAAAGAAYAWQEAAMQFAAAAAA==&#10;">
              <v:fill on="f" focussize="0,0"/>
              <v:stroke on="f" weight="0.5pt"/>
              <v:imagedata o:title=""/>
              <o:lock v:ext="edit" aspectratio="f"/>
              <v:textbox inset="0mm,0mm,0mm,0mm" style="mso-fit-shape-to-text:t;">
                <w:txbxContent>
                  <w:p w14:paraId="45547779">
                    <w:pPr>
                      <w:pStyle w:val="2"/>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19</w:t>
                    </w:r>
                    <w:r>
                      <w:fldChar w:fldCharType="end"/>
                    </w:r>
                    <w:r>
                      <w:t xml:space="preserve"> 页</w:t>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70A87B8">
    <w:pPr>
      <w:pStyle w:val="3"/>
      <w:ind w:left="1440" w:hanging="1440" w:hangingChars="800"/>
      <w:jc w:val="left"/>
    </w:pPr>
    <w:r>
      <w:rPr>
        <w:rFonts w:hint="eastAsia" w:ascii="宋体" w:hAnsi="宋体"/>
      </w:rPr>
      <w:t xml:space="preserve">全国碳达峰碳中和计量技术委员会建筑碳计量分技术委员会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08BEBC">
    <w:pPr>
      <w:pStyle w:val="3"/>
      <w:jc w:val="lef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D7E3E1">
    <w:pPr>
      <w:pStyle w:val="3"/>
      <w:pBdr>
        <w:bottom w:val="single" w:color="auto" w:sz="4" w:space="1"/>
      </w:pBdr>
    </w:pPr>
    <w:r>
      <w:rPr>
        <w:rFonts w:hint="eastAsia" w:ascii="宋体" w:hAnsi="宋体"/>
      </w:rPr>
      <w:t>全国碳达峰碳中和计量技术委员会建筑碳计量分技术委员会</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DB553708"/>
    <w:multiLevelType w:val="singleLevel"/>
    <w:tmpl w:val="DB553708"/>
    <w:lvl w:ilvl="0" w:tentative="0">
      <w:start w:val="1"/>
      <w:numFmt w:val="decimal"/>
      <w:suff w:val="nothing"/>
      <w:lvlText w:val="%1、"/>
      <w:lvlJc w:val="left"/>
    </w:lvl>
  </w:abstractNum>
  <w:abstractNum w:abstractNumId="1">
    <w:nsid w:val="6BA51186"/>
    <w:multiLevelType w:val="singleLevel"/>
    <w:tmpl w:val="6BA51186"/>
    <w:lvl w:ilvl="0" w:tentative="0">
      <w:start w:val="2"/>
      <w:numFmt w:val="decimal"/>
      <w:suff w:val="nothing"/>
      <w:lvlText w:val="%1、"/>
      <w:lvlJc w:val="left"/>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74E6C34"/>
    <w:rsid w:val="00870787"/>
    <w:rsid w:val="02832BE1"/>
    <w:rsid w:val="02A975D0"/>
    <w:rsid w:val="033642C3"/>
    <w:rsid w:val="04155674"/>
    <w:rsid w:val="043B7663"/>
    <w:rsid w:val="050B6D23"/>
    <w:rsid w:val="07424708"/>
    <w:rsid w:val="07C136C9"/>
    <w:rsid w:val="09630389"/>
    <w:rsid w:val="0AC3108A"/>
    <w:rsid w:val="0B100D93"/>
    <w:rsid w:val="0B2A65F8"/>
    <w:rsid w:val="0B9F01C5"/>
    <w:rsid w:val="0BD25EA5"/>
    <w:rsid w:val="0C245B68"/>
    <w:rsid w:val="0C554B8F"/>
    <w:rsid w:val="0CE32FEC"/>
    <w:rsid w:val="0CF92E96"/>
    <w:rsid w:val="0DBC2C6B"/>
    <w:rsid w:val="0E7E2310"/>
    <w:rsid w:val="0EA325B7"/>
    <w:rsid w:val="0EB13A6B"/>
    <w:rsid w:val="0EC33323"/>
    <w:rsid w:val="0ED14B39"/>
    <w:rsid w:val="11A86AFD"/>
    <w:rsid w:val="129A0CCD"/>
    <w:rsid w:val="12C10FFD"/>
    <w:rsid w:val="130A23C8"/>
    <w:rsid w:val="135B5351"/>
    <w:rsid w:val="148A5631"/>
    <w:rsid w:val="14CC2CE3"/>
    <w:rsid w:val="14D06875"/>
    <w:rsid w:val="15472591"/>
    <w:rsid w:val="155251A4"/>
    <w:rsid w:val="15E52C78"/>
    <w:rsid w:val="15FC3EC9"/>
    <w:rsid w:val="16470173"/>
    <w:rsid w:val="16730568"/>
    <w:rsid w:val="170E3922"/>
    <w:rsid w:val="174D65A7"/>
    <w:rsid w:val="17567711"/>
    <w:rsid w:val="17AF79E2"/>
    <w:rsid w:val="1B1219A7"/>
    <w:rsid w:val="1B481CDF"/>
    <w:rsid w:val="1C315B4A"/>
    <w:rsid w:val="1C344E08"/>
    <w:rsid w:val="1CCC2C7B"/>
    <w:rsid w:val="1E1D5C20"/>
    <w:rsid w:val="1F615F2D"/>
    <w:rsid w:val="1F9F11CC"/>
    <w:rsid w:val="1FB149FD"/>
    <w:rsid w:val="20A07F24"/>
    <w:rsid w:val="20E80462"/>
    <w:rsid w:val="21241F29"/>
    <w:rsid w:val="214D64CB"/>
    <w:rsid w:val="21EA16AB"/>
    <w:rsid w:val="22CB60D8"/>
    <w:rsid w:val="22E22A19"/>
    <w:rsid w:val="23487A7C"/>
    <w:rsid w:val="23D60787"/>
    <w:rsid w:val="23E15550"/>
    <w:rsid w:val="24633DCC"/>
    <w:rsid w:val="25C97EC1"/>
    <w:rsid w:val="264D0715"/>
    <w:rsid w:val="26940379"/>
    <w:rsid w:val="26EC2487"/>
    <w:rsid w:val="27153999"/>
    <w:rsid w:val="272C111D"/>
    <w:rsid w:val="27314692"/>
    <w:rsid w:val="27C858B3"/>
    <w:rsid w:val="28E03E9F"/>
    <w:rsid w:val="292A40FB"/>
    <w:rsid w:val="2939535D"/>
    <w:rsid w:val="298577EE"/>
    <w:rsid w:val="29DF7895"/>
    <w:rsid w:val="2AE52C04"/>
    <w:rsid w:val="2B0B2D29"/>
    <w:rsid w:val="2B997869"/>
    <w:rsid w:val="2BB72DE9"/>
    <w:rsid w:val="2C541166"/>
    <w:rsid w:val="2CB05AD1"/>
    <w:rsid w:val="2CBB4D37"/>
    <w:rsid w:val="2CCD7B46"/>
    <w:rsid w:val="2D021B5F"/>
    <w:rsid w:val="2DE723CD"/>
    <w:rsid w:val="2E431D41"/>
    <w:rsid w:val="2F3F11F4"/>
    <w:rsid w:val="2FA407DD"/>
    <w:rsid w:val="2FB11BFF"/>
    <w:rsid w:val="2FCA25A7"/>
    <w:rsid w:val="2FD77DFF"/>
    <w:rsid w:val="300B0AA2"/>
    <w:rsid w:val="30B74AFA"/>
    <w:rsid w:val="31000F43"/>
    <w:rsid w:val="32461618"/>
    <w:rsid w:val="32CB34CA"/>
    <w:rsid w:val="342F6EFB"/>
    <w:rsid w:val="34B47F8E"/>
    <w:rsid w:val="34B63AC3"/>
    <w:rsid w:val="35445AC8"/>
    <w:rsid w:val="35C97A69"/>
    <w:rsid w:val="36682563"/>
    <w:rsid w:val="368432E4"/>
    <w:rsid w:val="36AF3169"/>
    <w:rsid w:val="37D87C0F"/>
    <w:rsid w:val="388D1809"/>
    <w:rsid w:val="38A406D6"/>
    <w:rsid w:val="38EC5BE1"/>
    <w:rsid w:val="3914052D"/>
    <w:rsid w:val="399F120C"/>
    <w:rsid w:val="3BB40F29"/>
    <w:rsid w:val="3BC91DFB"/>
    <w:rsid w:val="3BF37B5A"/>
    <w:rsid w:val="3CB13E26"/>
    <w:rsid w:val="3D316074"/>
    <w:rsid w:val="3D7F52C3"/>
    <w:rsid w:val="3DB35105"/>
    <w:rsid w:val="3DB861BE"/>
    <w:rsid w:val="3DC9778E"/>
    <w:rsid w:val="3E071691"/>
    <w:rsid w:val="3E0E6961"/>
    <w:rsid w:val="3E8A5EF5"/>
    <w:rsid w:val="3F2A77CA"/>
    <w:rsid w:val="3F995C24"/>
    <w:rsid w:val="400159AA"/>
    <w:rsid w:val="40523956"/>
    <w:rsid w:val="40FE0F0E"/>
    <w:rsid w:val="41123E0D"/>
    <w:rsid w:val="42004BE1"/>
    <w:rsid w:val="4215183B"/>
    <w:rsid w:val="426B6C39"/>
    <w:rsid w:val="429261BB"/>
    <w:rsid w:val="430B01EF"/>
    <w:rsid w:val="43B05954"/>
    <w:rsid w:val="449C6A74"/>
    <w:rsid w:val="45707D87"/>
    <w:rsid w:val="45D4512B"/>
    <w:rsid w:val="468C215E"/>
    <w:rsid w:val="47484E99"/>
    <w:rsid w:val="4874445C"/>
    <w:rsid w:val="49D64CDF"/>
    <w:rsid w:val="49E36EF3"/>
    <w:rsid w:val="4BEE4235"/>
    <w:rsid w:val="4C1911B6"/>
    <w:rsid w:val="4C294CF1"/>
    <w:rsid w:val="4CA86AD3"/>
    <w:rsid w:val="4D1C56B9"/>
    <w:rsid w:val="4D3C7046"/>
    <w:rsid w:val="4D425940"/>
    <w:rsid w:val="4DB712E3"/>
    <w:rsid w:val="4E061BED"/>
    <w:rsid w:val="4E633AD5"/>
    <w:rsid w:val="4E783BE2"/>
    <w:rsid w:val="4E7B0AB2"/>
    <w:rsid w:val="4F5159D7"/>
    <w:rsid w:val="4FBD63B5"/>
    <w:rsid w:val="4FE55826"/>
    <w:rsid w:val="4FF43478"/>
    <w:rsid w:val="51C62530"/>
    <w:rsid w:val="5273519C"/>
    <w:rsid w:val="52BE2CB0"/>
    <w:rsid w:val="5384018C"/>
    <w:rsid w:val="53C953AC"/>
    <w:rsid w:val="544607AB"/>
    <w:rsid w:val="54AF433D"/>
    <w:rsid w:val="55344AA7"/>
    <w:rsid w:val="559F1AA1"/>
    <w:rsid w:val="55A33E57"/>
    <w:rsid w:val="55D668A1"/>
    <w:rsid w:val="56642DC8"/>
    <w:rsid w:val="567315FF"/>
    <w:rsid w:val="56FB3ACE"/>
    <w:rsid w:val="574E6C34"/>
    <w:rsid w:val="575B38A5"/>
    <w:rsid w:val="577631A8"/>
    <w:rsid w:val="591C5F7E"/>
    <w:rsid w:val="591E690E"/>
    <w:rsid w:val="595A0BBA"/>
    <w:rsid w:val="599F5B19"/>
    <w:rsid w:val="59DB777F"/>
    <w:rsid w:val="5ABF6477"/>
    <w:rsid w:val="5ACC7530"/>
    <w:rsid w:val="5B150ED7"/>
    <w:rsid w:val="5B1A1838"/>
    <w:rsid w:val="5B6705DF"/>
    <w:rsid w:val="5B835E40"/>
    <w:rsid w:val="5CEF5CB6"/>
    <w:rsid w:val="5D1B6B7A"/>
    <w:rsid w:val="5DFC1EDA"/>
    <w:rsid w:val="5E2052EE"/>
    <w:rsid w:val="5E3B1C6D"/>
    <w:rsid w:val="5E3B2A02"/>
    <w:rsid w:val="5E522E33"/>
    <w:rsid w:val="5F1555B0"/>
    <w:rsid w:val="5F282987"/>
    <w:rsid w:val="5FA64495"/>
    <w:rsid w:val="5FD749AD"/>
    <w:rsid w:val="60065292"/>
    <w:rsid w:val="600D0853"/>
    <w:rsid w:val="60D96503"/>
    <w:rsid w:val="611379EF"/>
    <w:rsid w:val="6151253D"/>
    <w:rsid w:val="62022C78"/>
    <w:rsid w:val="62614035"/>
    <w:rsid w:val="62C502A5"/>
    <w:rsid w:val="62D45906"/>
    <w:rsid w:val="62E86858"/>
    <w:rsid w:val="63682FEE"/>
    <w:rsid w:val="63A00554"/>
    <w:rsid w:val="643056D0"/>
    <w:rsid w:val="646060FB"/>
    <w:rsid w:val="652D418B"/>
    <w:rsid w:val="658B0713"/>
    <w:rsid w:val="6590214C"/>
    <w:rsid w:val="65BD63F3"/>
    <w:rsid w:val="65D1309C"/>
    <w:rsid w:val="65E9396A"/>
    <w:rsid w:val="674E7C4A"/>
    <w:rsid w:val="677A1091"/>
    <w:rsid w:val="68D4417F"/>
    <w:rsid w:val="69210E0F"/>
    <w:rsid w:val="696A6E60"/>
    <w:rsid w:val="6977387B"/>
    <w:rsid w:val="69AA0CD3"/>
    <w:rsid w:val="6B465590"/>
    <w:rsid w:val="6C37202C"/>
    <w:rsid w:val="6CB11A07"/>
    <w:rsid w:val="6D301BA0"/>
    <w:rsid w:val="6D4626DB"/>
    <w:rsid w:val="6E3A78B9"/>
    <w:rsid w:val="6E9D5FB0"/>
    <w:rsid w:val="6EAF68FD"/>
    <w:rsid w:val="6EDC28DF"/>
    <w:rsid w:val="70251764"/>
    <w:rsid w:val="704C0C03"/>
    <w:rsid w:val="715312EF"/>
    <w:rsid w:val="71995F66"/>
    <w:rsid w:val="71BC4061"/>
    <w:rsid w:val="728B07AD"/>
    <w:rsid w:val="729843E7"/>
    <w:rsid w:val="72FC67AC"/>
    <w:rsid w:val="73D03795"/>
    <w:rsid w:val="745C34EB"/>
    <w:rsid w:val="74D814B5"/>
    <w:rsid w:val="74D8263E"/>
    <w:rsid w:val="75890257"/>
    <w:rsid w:val="75D86178"/>
    <w:rsid w:val="760229E4"/>
    <w:rsid w:val="76A850E3"/>
    <w:rsid w:val="770245AD"/>
    <w:rsid w:val="77273EAD"/>
    <w:rsid w:val="77627DFB"/>
    <w:rsid w:val="779C2F85"/>
    <w:rsid w:val="77A6067C"/>
    <w:rsid w:val="793D003B"/>
    <w:rsid w:val="794E160F"/>
    <w:rsid w:val="79AD10F3"/>
    <w:rsid w:val="79D515CC"/>
    <w:rsid w:val="7A06487B"/>
    <w:rsid w:val="7A5F079F"/>
    <w:rsid w:val="7A9E5C4B"/>
    <w:rsid w:val="7AD24297"/>
    <w:rsid w:val="7B414CE8"/>
    <w:rsid w:val="7B59657D"/>
    <w:rsid w:val="7B745D19"/>
    <w:rsid w:val="7BBF70A0"/>
    <w:rsid w:val="7C8D21EA"/>
    <w:rsid w:val="7C9158DF"/>
    <w:rsid w:val="7C9932BE"/>
    <w:rsid w:val="7D52604A"/>
    <w:rsid w:val="7D921C5C"/>
    <w:rsid w:val="7D9523D7"/>
    <w:rsid w:val="7DDC4542"/>
    <w:rsid w:val="7DF44391"/>
    <w:rsid w:val="7E410A4A"/>
    <w:rsid w:val="7F40320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9"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6">
    <w:name w:val="Default Paragraph Font"/>
    <w:semiHidden/>
    <w:qFormat/>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table" w:styleId="5">
    <w:name w:val="Table Grid"/>
    <w:basedOn w:val="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7">
    <w:name w:val="Strong"/>
    <w:basedOn w:val="6"/>
    <w:qFormat/>
    <w:uiPriority w:val="0"/>
    <w:rPr>
      <w:b/>
    </w:rPr>
  </w:style>
  <w:style w:type="character" w:styleId="8">
    <w:name w:val="Hyperlink"/>
    <w:basedOn w:val="6"/>
    <w:qFormat/>
    <w:uiPriority w:val="0"/>
    <w:rPr>
      <w:color w:val="0000FF"/>
      <w:u w:val="single"/>
    </w:rPr>
  </w:style>
</w:style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header" Target="header3.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9" Type="http://schemas.openxmlformats.org/officeDocument/2006/relationships/fontTable" Target="fontTable.xml"/><Relationship Id="rId28" Type="http://schemas.openxmlformats.org/officeDocument/2006/relationships/customXml" Target="../customXml/item2.xml"/><Relationship Id="rId27" Type="http://schemas.openxmlformats.org/officeDocument/2006/relationships/numbering" Target="numbering.xml"/><Relationship Id="rId26" Type="http://schemas.openxmlformats.org/officeDocument/2006/relationships/customXml" Target="../customXml/item1.xml"/><Relationship Id="rId25" Type="http://schemas.openxmlformats.org/officeDocument/2006/relationships/image" Target="media/image17.png"/><Relationship Id="rId24" Type="http://schemas.openxmlformats.org/officeDocument/2006/relationships/image" Target="media/image16.png"/><Relationship Id="rId23" Type="http://schemas.openxmlformats.org/officeDocument/2006/relationships/image" Target="media/image15.png"/><Relationship Id="rId22" Type="http://schemas.openxmlformats.org/officeDocument/2006/relationships/image" Target="media/image14.png"/><Relationship Id="rId21" Type="http://schemas.openxmlformats.org/officeDocument/2006/relationships/image" Target="media/image13.png"/><Relationship Id="rId20" Type="http://schemas.openxmlformats.org/officeDocument/2006/relationships/image" Target="media/image12.png"/><Relationship Id="rId2" Type="http://schemas.openxmlformats.org/officeDocument/2006/relationships/settings" Target="settings.xml"/><Relationship Id="rId19" Type="http://schemas.openxmlformats.org/officeDocument/2006/relationships/image" Target="media/image11.png"/><Relationship Id="rId18" Type="http://schemas.openxmlformats.org/officeDocument/2006/relationships/image" Target="media/image10.png"/><Relationship Id="rId17" Type="http://schemas.openxmlformats.org/officeDocument/2006/relationships/image" Target="media/image9.png"/><Relationship Id="rId16" Type="http://schemas.openxmlformats.org/officeDocument/2006/relationships/image" Target="media/image8.png"/><Relationship Id="rId15" Type="http://schemas.openxmlformats.org/officeDocument/2006/relationships/image" Target="media/image7.png"/><Relationship Id="rId14" Type="http://schemas.openxmlformats.org/officeDocument/2006/relationships/image" Target="media/image6.png"/><Relationship Id="rId13" Type="http://schemas.openxmlformats.org/officeDocument/2006/relationships/image" Target="media/image5.png"/><Relationship Id="rId12" Type="http://schemas.openxmlformats.org/officeDocument/2006/relationships/image" Target="media/image4.jpeg"/><Relationship Id="rId11" Type="http://schemas.openxmlformats.org/officeDocument/2006/relationships/image" Target="media/image3.jpeg"/><Relationship Id="rId10" Type="http://schemas.openxmlformats.org/officeDocument/2006/relationships/image" Target="media/image2.jpe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textRotate="1"/>
  </customShpExts>
</s:customData>
</file>

<file path=customXml/item2.xml><?xml version="1.0" encoding="utf-8"?>
<contractReview xmlns="http://schemas.wps.cn/vas-ai-hub/contract-review">
  <reviewItems>
    <reviewItem>
      <errorID>eefcce4a-5f3d-4871-bcd2-e43233d001cf</errorID>
      <errorWord>实例</errorWord>
      <group>L1_Word</group>
      <groupName>字词问题</groupName>
      <ability>L2_Typo</ability>
      <abilityName>字词错误</abilityName>
      <candidateList>
        <item>例</item>
      </candidateList>
      <explain/>
      <paraID>4CA8062F</paraID>
      <start>22</start>
      <end>24</end>
      <status>unmodified</status>
      <modifiedWord/>
      <trackRevisions>false</trackRevisions>
    </reviewItem>
    <reviewItem>
      <errorID>d634bbff-6a48-4099-9638-06e1e6e4bddf</errorID>
      <errorWord>-</errorWord>
      <group>L1_Format</group>
      <groupName>格式问题</groupName>
      <ability>L2_HalfPunc</ability>
      <abilityName>全半角检查</abilityName>
      <candidateList>
        <item>－</item>
      </candidateList>
      <explain>文本全半角错误。</explain>
      <paraID>2413993C</paraID>
      <start>7</start>
      <end>8</end>
      <status>unmodified</status>
      <modifiedWord/>
      <trackRevisions>false</trackRevisions>
    </reviewItem>
    <reviewItem>
      <errorID>8f62cd85-68c5-4e6d-9b0b-b27a83d8d11b</errorID>
      <errorWord>-</errorWord>
      <group>L1_Format</group>
      <groupName>格式问题</groupName>
      <ability>L2_HalfPunc</ability>
      <abilityName>全半角检查</abilityName>
      <candidateList>
        <item>－</item>
      </candidateList>
      <explain>文本全半角错误。</explain>
      <paraID>2413993C</paraID>
      <start>12</start>
      <end>13</end>
      <status>unmodified</status>
      <modifiedWord/>
      <trackRevisions>false</trackRevisions>
    </reviewItem>
    <reviewItem>
      <errorID>d33fba6d-fa7e-4268-909a-7207d74744db</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 9FCF52B</paraID>
      <start>30</start>
      <end>31</end>
      <status>unmodified</status>
      <modifiedWord/>
      <trackRevisions>false</trackRevisions>
    </reviewItem>
    <reviewItem>
      <errorID>0b7c31c8-af7a-49d6-9fe3-a2b831f9f31c</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 9FCF52B</paraID>
      <start>55</start>
      <end>56</end>
      <status>unmodified</status>
      <modifiedWord/>
      <trackRevisions>false</trackRevisions>
    </reviewItem>
    <reviewItem>
      <errorID>c8a14679-3b9d-4619-a2c7-ed9d5dd42b9b</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 9FCF52B</paraID>
      <start>81</start>
      <end>82</end>
      <status>unmodified</status>
      <modifiedWord/>
      <trackRevisions>false</trackRevisions>
    </reviewItem>
    <reviewItem>
      <errorID>14dbddb5-ffb9-4f7a-8f0d-c6c047551a00</errorID>
      <errorWord>数据来源范围</errorWord>
      <group>L1_AI</group>
      <groupName>深度校对</groupName>
      <ability>L2_AI_Title</ability>
      <abilityName>标题检查</abilityName>
      <candidateList/>
      <explain>相同层级标题序号格式前后文不一致。前文二级标题序号使用“1、”“2、”，此处二级标题序号使用“3、”，与前文二级标题序号格式不一致，且后续二级标题序号使用“2、”，同样存在格式不一致问题</explain>
      <paraID>1AE543C3</paraID>
      <start>0</start>
      <end>6</end>
      <status>unmodified</status>
      <modifiedWord/>
      <trackRevisions>false</trackRevisions>
    </reviewItem>
    <reviewItem>
      <errorID>9e6b82ed-01fb-4042-a4a6-e5f021dbb9b2</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24597FA6</paraID>
      <start>0</start>
      <end>2</end>
      <status>unmodified</status>
      <modifiedWord/>
      <trackRevisions>false</trackRevisions>
    </reviewItem>
    <reviewItem>
      <errorID>58bd423f-b4f2-4364-8235-ddaa112c6c09</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601F6BC5</paraID>
      <start>0</start>
      <end>2</end>
      <status>unmodified</status>
      <modifiedWord/>
      <trackRevisions>false</trackRevisions>
    </reviewItem>
    <reviewItem>
      <errorID>99e5ede1-e390-4dc7-bf93-9947baf1a621</errorID>
      <errorWord>其它</errorWord>
      <group>L1_Word</group>
      <groupName>字词问题</groupName>
      <ability>L2_Alias</ability>
      <abilityName>也作/曾用词</abilityName>
      <candidateList>
        <item>其他</item>
      </candidateList>
      <explain>词汇[其它]为不规范表述或旧称，其规范书面表述为[其他]。</explain>
      <paraID>5AD0A5D4</paraID>
      <start>1</start>
      <end>3</end>
      <status>unmodified</status>
      <modifiedWord/>
      <trackRevisions>false</trackRevisions>
    </reviewItem>
    <reviewItem>
      <errorID>595f077b-e5f4-49e8-85c2-83d3e2c2d40c</errorID>
      <errorWord>规范核心条款可操作性验证</errorWord>
      <group>L1_AI</group>
      <groupName>深度校对</groupName>
      <ability>L2_AI_Title</ability>
      <abilityName>标题检查</abilityName>
      <candidateList/>
      <explain>相邻标题序号不连续。前文一级标题序号为“四、”，此处一级标题序号直接出现“2、”，相邻标题序号不连续</explain>
      <paraID>1E2BDC22</paraID>
      <start>0</start>
      <end>12</end>
      <status>unmodified</status>
      <modifiedWord/>
      <trackRevisions>false</trackRevisions>
    </reviewItem>
    <reviewItem>
      <errorID>eb3ccad6-1758-4308-bebe-410025a847f4</errorID>
      <errorWord>。</errorWord>
      <group>L1_AI</group>
      <groupName>深度校对</groupName>
      <ability>L2_AI_Grammar</ability>
      <abilityName>语法纠错</abilityName>
      <candidateList>
        <item>所示。</item>
      </candidateList>
      <explain/>
      <paraID> 316B718</paraID>
      <start>54</start>
      <end>55</end>
      <status>unmodified</status>
      <modifiedWord/>
      <trackRevisions>false</trackRevisions>
    </reviewItem>
    <reviewItem>
      <errorID>421dbc74-b962-4ac2-ab28-0b42443c89e4</errorID>
      <errorWord>程</errorWord>
      <group>L1_Word</group>
      <groupName>字词问题</groupName>
      <ability>L2_Typo</ability>
      <abilityName>字词错误</abilityName>
      <candidateList>
        <item>程中</item>
      </candidateList>
      <explain/>
      <paraID>58188644</paraID>
      <start>19</start>
      <end>20</end>
      <status>unmodified</status>
      <modifiedWord/>
      <trackRevisions>false</trackRevisions>
    </reviewItem>
    <reviewItem>
      <errorID>d4539906-7ff6-424d-98f6-c46b16704c12</errorID>
      <errorWord>购入</errorWord>
      <group>L1_Word</group>
      <groupName>字词问题</groupName>
      <ability>L2_Typo</ability>
      <abilityName>字词错误</abilityName>
      <candidateList>
        <item>投入</item>
      </candidateList>
      <explain>❶〈动〉投到某种环境里去：～生产｜～新生活｜新机场已经正式～使用。❷〈形〉形容做事情聚精会神，全力以赴：她演戏很～。❸〈动〉指投放资金：少～，多产出。❹〈名〉投放的资金：教育～逐年增加｜这是一笔不小的～。</explain>
      <paraID>16018D82</paraID>
      <start>9</start>
      <end>11</end>
      <status>unmodified</status>
      <modifiedWord/>
      <trackRevisions>false</trackRevisions>
    </reviewItem>
    <reviewItem>
      <errorID>1e6b8cac-d36e-4ee6-be0b-b2e436fb6462</errorID>
      <errorWord>a）：</errorWord>
      <group>L1_Format</group>
      <groupName>格式问题</groupName>
      <ability>L2_Ordinal</ability>
      <abilityName>序号格式</abilityName>
      <candidateList>
        <item>a）</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2419746F</paraID>
      <start>0</start>
      <end>3</end>
      <status>unmodified</status>
      <modifiedWord/>
      <trackRevisions>false</trackRevisions>
    </reviewItem>
    <reviewItem>
      <errorID>4fc8d8d6-ff47-4669-b17b-aec0be3b478b</errorID>
      <errorWord>b）：</errorWord>
      <group>L1_Format</group>
      <groupName>格式问题</groupName>
      <ability>L2_Ordinal</ability>
      <abilityName>序号格式</abilityName>
      <candidateList>
        <item>b）</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FECC770</paraID>
      <start>0</start>
      <end>3</end>
      <status>unmodified</status>
      <modifiedWord/>
      <trackRevisions>false</trackRevisions>
    </reviewItem>
    <reviewItem>
      <errorID>4c58a432-9e4f-4c42-b49e-7b3191c5b4ad</errorID>
      <errorWord>搅拌砂浆</errorWord>
      <group>L1_Knowledge</group>
      <groupName>知识性问题</groupName>
      <ability>L2_Term</ability>
      <abilityName>专业术语</abilityName>
      <candidateList>
        <item>预拌砂浆</item>
      </candidateList>
      <explain/>
      <paraID> FECC770</paraID>
      <start>6</start>
      <end>10</end>
      <status>unmodified</status>
      <modifiedWord/>
      <trackRevisions>false</trackRevisions>
    </reviewItem>
    <reviewItem>
      <errorID>7bea0e79-f833-4382-8573-f903381236bf</errorID>
      <errorWord>c）：</errorWord>
      <group>L1_Format</group>
      <groupName>格式问题</groupName>
      <ability>L2_Ordinal</ability>
      <abilityName>序号格式</abilityName>
      <candidateList>
        <item>c）</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29D06BBA</paraID>
      <start>0</start>
      <end>3</end>
      <status>unmodified</status>
      <modifiedWord/>
      <trackRevisions>false</trackRevisions>
    </reviewItem>
    <reviewItem>
      <errorID>c56758b3-294f-4cc7-a232-a9a93ea18f12</errorID>
      <errorWord>d）：</errorWord>
      <group>L1_Format</group>
      <groupName>格式问题</groupName>
      <ability>L2_Ordinal</ability>
      <abilityName>序号格式</abilityName>
      <candidateList>
        <item>d）</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6D8708E1</paraID>
      <start>0</start>
      <end>3</end>
      <status>unmodified</status>
      <modifiedWord/>
      <trackRevisions>false</trackRevisions>
    </reviewItem>
    <reviewItem>
      <errorID>5e0060af-2968-4cc2-abb6-d5bd0f118dc3</errorID>
      <errorWord>e）：</errorWord>
      <group>L1_Format</group>
      <groupName>格式问题</groupName>
      <ability>L2_Ordinal</ability>
      <abilityName>序号格式</abilityName>
      <candidateList>
        <item>e）</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2ED9041F</paraID>
      <start>0</start>
      <end>3</end>
      <status>unmodified</status>
      <modifiedWord/>
      <trackRevisions>false</trackRevisions>
    </reviewItem>
    <reviewItem>
      <errorID>c39a0e68-b052-4770-b376-d8071752ecb6</errorID>
      <errorWord>f）：</errorWord>
      <group>L1_Format</group>
      <groupName>格式问题</groupName>
      <ability>L2_Ordinal</ability>
      <abilityName>序号格式</abilityName>
      <candidateList>
        <item>f）</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2C5B827F</paraID>
      <start>0</start>
      <end>3</end>
      <status>unmodified</status>
      <modifiedWord/>
      <trackRevisions>false</trackRevisions>
    </reviewItem>
    <reviewItem>
      <errorID>a4d56824-4caf-4610-83d0-bc00e9fab2dd</errorID>
      <errorWord>1应满足施工阶段</errorWord>
      <group>L1_AI</group>
      <groupName>深度校对</groupName>
      <ability>L2_AI_Grammar</ability>
      <abilityName>语法纠错</abilityName>
      <candidateList>
        <item>1</item>
      </candidateList>
      <explain/>
      <paraID>37CDE3A0</paraID>
      <start>4</start>
      <end>12</end>
      <status>unmodified</status>
      <modifiedWord/>
      <trackRevisions>false</trackRevisions>
    </reviewItem>
    <reviewItem>
      <errorID>360c323c-23c4-487e-9b88-d21072add5cb</errorID>
      <errorWord>-</errorWord>
      <group>L1_Format</group>
      <groupName>格式问题</groupName>
      <ability>L2_HalfPunc</ability>
      <abilityName>全半角检查</abilityName>
      <candidateList>
        <item>－</item>
      </candidateList>
      <explain>文本全半角错误。</explain>
      <paraID>3595BFEC</paraID>
      <start>53</start>
      <end>54</end>
      <status>unmodified</status>
      <modifiedWord/>
      <trackRevisions>false</trackRevisions>
    </reviewItem>
    <reviewItem>
      <errorID>b1395632-60c5-4f1c-acec-9f81ef124a2e</errorID>
      <errorWord>-</errorWord>
      <group>L1_Format</group>
      <groupName>格式问题</groupName>
      <ability>L2_HalfPunc</ability>
      <abilityName>全半角检查</abilityName>
      <candidateList>
        <item>－</item>
      </candidateList>
      <explain>文本全半角错误。</explain>
      <paraID>3595BFEC</paraID>
      <start>56</start>
      <end>57</end>
      <status>unmodified</status>
      <modifiedWord/>
      <trackRevisions>false</trackRevisions>
    </reviewItem>
    <reviewItem>
      <errorID>938b7774-6e37-4772-b59c-3eb586b03b0b</errorID>
      <errorWord>-</errorWord>
      <group>L1_Format</group>
      <groupName>格式问题</groupName>
      <ability>L2_HalfPunc</ability>
      <abilityName>全半角检查</abilityName>
      <candidateList>
        <item>－</item>
      </candidateList>
      <explain>文本全半角错误。</explain>
      <paraID>3595BFEC</paraID>
      <start>66</start>
      <end>67</end>
      <status>unmodified</status>
      <modifiedWord/>
      <trackRevisions>false</trackRevisions>
    </reviewItem>
    <reviewItem>
      <errorID>9ffa2cf2-0afe-41b5-a7be-2220283a7662</errorID>
      <errorWord>-</errorWord>
      <group>L1_Format</group>
      <groupName>格式问题</groupName>
      <ability>L2_HalfPunc</ability>
      <abilityName>全半角检查</abilityName>
      <candidateList>
        <item>－</item>
      </candidateList>
      <explain>文本全半角错误。</explain>
      <paraID>3595BFEC</paraID>
      <start>69</start>
      <end>70</end>
      <status>unmodified</status>
      <modifiedWord/>
      <trackRevisions>false</trackRevisions>
    </reviewItem>
    <reviewItem>
      <errorID>be3e9ed9-5df3-473d-b66f-f96a4a748ae5</errorID>
      <errorWord>超</errorWord>
      <group>L1_Word</group>
      <groupName>字词问题</groupName>
      <ability>L2_Typo</ability>
      <abilityName>字词错误</abilityName>
      <candidateList>
        <item>超过</item>
      </candidateList>
      <explain/>
      <paraID>4EEDED3A</paraID>
      <start>17</start>
      <end>18</end>
      <status>unmodified</status>
      <modifiedWord/>
      <trackRevisions>false</trackRevisions>
    </reviewItem>
    <reviewItem>
      <errorID>63421a72-7183-4af3-a236-583fff7e09c7</errorID>
      <errorWord>-</errorWord>
      <group>L1_Format</group>
      <groupName>格式问题</groupName>
      <ability>L2_HalfPunc</ability>
      <abilityName>全半角检查</abilityName>
      <candidateList>
        <item>－</item>
      </candidateList>
      <explain>文本全半角错误。</explain>
      <paraID>6FA7BA3C</paraID>
      <start>22</start>
      <end>23</end>
      <status>unmodified</status>
      <modifiedWord/>
      <trackRevisions>false</trackRevisions>
    </reviewItem>
    <reviewItem>
      <errorID>7b805e2f-7d36-4768-a1ca-3d33881e1852</errorID>
      <errorWord>-</errorWord>
      <group>L1_Format</group>
      <groupName>格式问题</groupName>
      <ability>L2_HalfPunc</ability>
      <abilityName>全半角检查</abilityName>
      <candidateList>
        <item>－</item>
      </candidateList>
      <explain>文本全半角错误。</explain>
      <paraID>6FA7BA3C</paraID>
      <start>25</start>
      <end>26</end>
      <status>unmodified</status>
      <modifiedWord/>
      <trackRevisions>false</trackRevisions>
    </reviewItem>
    <reviewItem>
      <errorID>19d0f387-4589-4af7-99fe-5b5c458abf58</errorID>
      <errorWord>超</errorWord>
      <group>L1_Word</group>
      <groupName>字词问题</groupName>
      <ability>L2_Typo</ability>
      <abilityName>字词错误</abilityName>
      <candidateList>
        <item>超过</item>
      </candidateList>
      <explain/>
      <paraID>4EB003F1</paraID>
      <start>137</start>
      <end>138</end>
      <status>unmodified</status>
      <modifiedWord/>
      <trackRevisions>false</trackRevisions>
    </reviewItem>
    <reviewItem>
      <errorID>e0fc2908-b57f-4d6c-9b6f-75732dd1ab4d</errorID>
      <errorWord>-</errorWord>
      <group>L1_Knowledge</group>
      <groupName>知识性问题</groupName>
      <ability>L2_Knowledge</ability>
      <abilityName>其他知识</abilityName>
      <candidateList>
        <item>～</item>
      </candidateList>
      <explain>连接号使用不恰当</explain>
      <paraID>2E05F3A3</paraID>
      <start>28</start>
      <end>29</end>
      <status>unmodified</status>
      <modifiedWord/>
      <trackRevisions>false</trackRevisions>
    </reviewItem>
    <reviewItem>
      <errorID>96eb2f46-9b38-4aeb-bf86-22c829b3339f</errorID>
      <errorWord>-</errorWord>
      <group>L1_Knowledge</group>
      <groupName>知识性问题</groupName>
      <ability>L2_Knowledge</ability>
      <abilityName>其他知识</abilityName>
      <candidateList>
        <item>～</item>
      </candidateList>
      <explain>连接号使用不恰当</explain>
      <paraID>53FAFC28</paraID>
      <start>107</start>
      <end>108</end>
      <status>unmodified</status>
      <modifiedWord/>
      <trackRevisions>false</trackRevisions>
    </reviewItem>
  </reviewItems>
  <config/>
</contractReview>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ba6b9e4-7df9-43bb-9324-4fa099a125a5}">
  <ds:schemaRefs/>
</ds:datastoreItem>
</file>

<file path=docProps/app.xml><?xml version="1.0" encoding="utf-8"?>
<Properties xmlns="http://schemas.openxmlformats.org/officeDocument/2006/extended-properties" xmlns:vt="http://schemas.openxmlformats.org/officeDocument/2006/docPropsVTypes">
  <Template>Normal.dotm</Template>
  <Pages>23</Pages>
  <Words>3241</Words>
  <Characters>3465</Characters>
  <Lines>0</Lines>
  <Paragraphs>0</Paragraphs>
  <TotalTime>13</TotalTime>
  <ScaleCrop>false</ScaleCrop>
  <LinksUpToDate>false</LinksUpToDate>
  <CharactersWithSpaces>3604</CharactersWithSpaces>
  <Application>WPS Office_12.1.0.23542_F1E327BC-269C-435d-A152-05C5408002CA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2025-06-03T02:24:00Z</dcterms:created>
  <dc:creator>槑</dc:creator>
  <cp:lastModifiedBy>赵瑞</cp:lastModifiedBy>
  <dcterms:modified xsi:type="dcterms:W3CDTF">2025-11-14T01:25:14Z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2052-12.1.0.23542</vt:lpwstr>
  </property>
  <property fmtid="{D5CDD505-2E9C-101B-9397-08002B2CF9AE}" pid="3" name="ICV">
    <vt:lpwstr>81A5E52D560F4F50B33DA7D7A68ABB7D_13</vt:lpwstr>
  </property>
  <property fmtid="{D5CDD505-2E9C-101B-9397-08002B2CF9AE}" pid="4" name="KSOTemplateDocerSaveRecord">
    <vt:lpwstr>eyJoZGlkIjoiZjFmZWIzNDg2MmIzZjExOTIzMmViNTBmYTMwYTk0ZWYiLCJ1c2VySWQiOiIyMzg0MjQ2NzgifQ==</vt:lpwstr>
  </property>
</Properties>
</file>